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2CC" w:rsidRPr="00BF21F7" w:rsidRDefault="00C302E0" w:rsidP="00EB412B">
      <w:pPr>
        <w:spacing w:after="120"/>
        <w:rPr>
          <w:rStyle w:val="Strong"/>
          <w:rFonts w:ascii="Arial" w:hAnsi="Arial" w:cs="Arial"/>
          <w:color w:val="808080" w:themeColor="background1" w:themeShade="80"/>
          <w:sz w:val="28"/>
          <w:szCs w:val="28"/>
        </w:rPr>
      </w:pPr>
      <w:r w:rsidRPr="00BF21F7">
        <w:rPr>
          <w:rStyle w:val="Strong"/>
          <w:rFonts w:ascii="Arial" w:hAnsi="Arial" w:cs="Arial"/>
          <w:color w:val="808080" w:themeColor="background1" w:themeShade="80"/>
          <w:sz w:val="28"/>
          <w:szCs w:val="28"/>
        </w:rPr>
        <w:t>Schedule C:  Service Level Agreements (SLA)</w:t>
      </w:r>
    </w:p>
    <w:p w:rsidR="00681691" w:rsidRPr="00BF21F7" w:rsidRDefault="00681691" w:rsidP="00C63FCB">
      <w:pPr>
        <w:pStyle w:val="Heading1"/>
        <w:rPr>
          <w:rFonts w:ascii="Arial" w:eastAsia="Times New Roman" w:hAnsi="Arial" w:cs="Arial"/>
          <w:sz w:val="22"/>
          <w:szCs w:val="22"/>
        </w:rPr>
      </w:pPr>
      <w:r w:rsidRPr="00BF21F7">
        <w:rPr>
          <w:rFonts w:ascii="Arial" w:eastAsia="Times New Roman" w:hAnsi="Arial" w:cs="Arial"/>
          <w:sz w:val="22"/>
          <w:szCs w:val="22"/>
        </w:rPr>
        <w:t>Supplier hours of operation are:</w:t>
      </w:r>
    </w:p>
    <w:p w:rsidR="00681691" w:rsidRPr="00BF21F7" w:rsidRDefault="00681691" w:rsidP="00C63FCB">
      <w:pPr>
        <w:pStyle w:val="Heading2"/>
        <w:rPr>
          <w:rFonts w:ascii="Arial" w:eastAsia="Times New Roman" w:hAnsi="Arial" w:cs="Arial"/>
          <w:sz w:val="22"/>
          <w:szCs w:val="22"/>
        </w:rPr>
      </w:pPr>
      <w:r w:rsidRPr="00BF21F7">
        <w:rPr>
          <w:rFonts w:ascii="Arial" w:eastAsia="Times New Roman" w:hAnsi="Arial" w:cs="Arial"/>
          <w:sz w:val="22"/>
          <w:szCs w:val="22"/>
        </w:rPr>
        <w:t>Call Center</w:t>
      </w:r>
    </w:p>
    <w:p w:rsidR="00681691" w:rsidRPr="00BF21F7" w:rsidRDefault="00681691" w:rsidP="00C63FCB">
      <w:pPr>
        <w:pStyle w:val="Heading3"/>
        <w:numPr>
          <w:ilvl w:val="0"/>
          <w:numId w:val="0"/>
        </w:numPr>
        <w:spacing w:before="0"/>
        <w:ind w:left="1440"/>
        <w:rPr>
          <w:rFonts w:ascii="Arial" w:hAnsi="Arial" w:cs="Arial"/>
          <w:sz w:val="22"/>
          <w:szCs w:val="22"/>
        </w:rPr>
      </w:pPr>
      <w:r w:rsidRPr="00BF21F7">
        <w:rPr>
          <w:rFonts w:ascii="Arial" w:hAnsi="Arial" w:cs="Arial"/>
          <w:sz w:val="22"/>
          <w:szCs w:val="22"/>
        </w:rPr>
        <w:t>M-F:  8am CST to 8pm CST</w:t>
      </w:r>
    </w:p>
    <w:p w:rsidR="00681691" w:rsidRPr="00BF21F7" w:rsidRDefault="00681691" w:rsidP="00C63FCB">
      <w:pPr>
        <w:pStyle w:val="Heading3"/>
        <w:numPr>
          <w:ilvl w:val="0"/>
          <w:numId w:val="0"/>
        </w:numPr>
        <w:spacing w:before="0"/>
        <w:ind w:left="1440"/>
        <w:rPr>
          <w:rFonts w:ascii="Arial" w:hAnsi="Arial" w:cs="Arial"/>
          <w:sz w:val="22"/>
          <w:szCs w:val="22"/>
        </w:rPr>
      </w:pPr>
      <w:r w:rsidRPr="00BF21F7">
        <w:rPr>
          <w:rFonts w:ascii="Arial" w:hAnsi="Arial" w:cs="Arial"/>
          <w:sz w:val="22"/>
          <w:szCs w:val="22"/>
        </w:rPr>
        <w:t>Saturday</w:t>
      </w:r>
      <w:r w:rsidR="00272FBC" w:rsidRPr="00BF21F7">
        <w:rPr>
          <w:rFonts w:ascii="Arial" w:hAnsi="Arial" w:cs="Arial"/>
          <w:sz w:val="22"/>
          <w:szCs w:val="22"/>
        </w:rPr>
        <w:t>:</w:t>
      </w:r>
      <w:r w:rsidRPr="00BF21F7">
        <w:rPr>
          <w:rFonts w:ascii="Arial" w:hAnsi="Arial" w:cs="Arial"/>
          <w:sz w:val="22"/>
          <w:szCs w:val="22"/>
        </w:rPr>
        <w:t xml:space="preserve">  8am EST to 3pm CST </w:t>
      </w:r>
    </w:p>
    <w:p w:rsidR="00681691" w:rsidRPr="00BF21F7" w:rsidRDefault="00681691" w:rsidP="00C63FCB">
      <w:pPr>
        <w:pStyle w:val="Heading3"/>
        <w:numPr>
          <w:ilvl w:val="0"/>
          <w:numId w:val="0"/>
        </w:numPr>
        <w:ind w:left="1440"/>
        <w:rPr>
          <w:rFonts w:ascii="Arial" w:hAnsi="Arial" w:cs="Arial"/>
          <w:sz w:val="22"/>
          <w:szCs w:val="22"/>
        </w:rPr>
      </w:pPr>
      <w:r w:rsidRPr="00BF21F7">
        <w:rPr>
          <w:rFonts w:ascii="Arial" w:hAnsi="Arial" w:cs="Arial"/>
          <w:sz w:val="22"/>
          <w:szCs w:val="22"/>
        </w:rPr>
        <w:t>Upon request of client:  Inbound call center is available 24 hours every day, including holidays.</w:t>
      </w:r>
    </w:p>
    <w:p w:rsidR="00681691" w:rsidRPr="00BF21F7" w:rsidRDefault="00681691" w:rsidP="00C63FCB">
      <w:pPr>
        <w:pStyle w:val="Heading3"/>
        <w:numPr>
          <w:ilvl w:val="0"/>
          <w:numId w:val="0"/>
        </w:numPr>
        <w:ind w:left="1440"/>
        <w:rPr>
          <w:rFonts w:ascii="Arial" w:hAnsi="Arial" w:cs="Arial"/>
          <w:sz w:val="22"/>
          <w:szCs w:val="22"/>
        </w:rPr>
      </w:pPr>
      <w:r w:rsidRPr="00BF21F7">
        <w:rPr>
          <w:rFonts w:ascii="Arial" w:hAnsi="Arial" w:cs="Arial"/>
          <w:sz w:val="22"/>
          <w:szCs w:val="22"/>
        </w:rPr>
        <w:t>The call center is staffed with Spanish speaking agents during the hours shown.</w:t>
      </w:r>
    </w:p>
    <w:p w:rsidR="00681691" w:rsidRPr="00BF21F7" w:rsidRDefault="00681691" w:rsidP="00990C01">
      <w:pPr>
        <w:pStyle w:val="Heading2"/>
        <w:rPr>
          <w:rFonts w:ascii="Arial" w:eastAsia="Times New Roman" w:hAnsi="Arial" w:cs="Arial"/>
          <w:sz w:val="22"/>
          <w:szCs w:val="22"/>
        </w:rPr>
      </w:pPr>
      <w:r w:rsidRPr="00BF21F7">
        <w:rPr>
          <w:rFonts w:ascii="Arial" w:eastAsia="Times New Roman" w:hAnsi="Arial" w:cs="Arial"/>
          <w:sz w:val="22"/>
          <w:szCs w:val="22"/>
        </w:rPr>
        <w:t>Negotiator/Loss Mitigator</w:t>
      </w:r>
    </w:p>
    <w:p w:rsidR="00272FBC" w:rsidRPr="00BF21F7" w:rsidRDefault="00681691" w:rsidP="00C63FCB">
      <w:pPr>
        <w:pStyle w:val="Heading3"/>
        <w:numPr>
          <w:ilvl w:val="0"/>
          <w:numId w:val="0"/>
        </w:numPr>
        <w:spacing w:before="0"/>
        <w:ind w:left="1440"/>
        <w:rPr>
          <w:rFonts w:ascii="Arial" w:hAnsi="Arial" w:cs="Arial"/>
          <w:sz w:val="22"/>
          <w:szCs w:val="22"/>
        </w:rPr>
      </w:pPr>
      <w:r w:rsidRPr="00BF21F7">
        <w:rPr>
          <w:rFonts w:ascii="Arial" w:eastAsia="Times New Roman" w:hAnsi="Arial" w:cs="Arial"/>
          <w:sz w:val="22"/>
          <w:szCs w:val="22"/>
        </w:rPr>
        <w:t xml:space="preserve">Standard </w:t>
      </w:r>
      <w:r w:rsidRPr="00BF21F7">
        <w:rPr>
          <w:rFonts w:ascii="Arial" w:hAnsi="Arial" w:cs="Arial"/>
          <w:sz w:val="22"/>
          <w:szCs w:val="22"/>
        </w:rPr>
        <w:t xml:space="preserve">hours:  </w:t>
      </w:r>
      <w:r w:rsidR="00272FBC" w:rsidRPr="00BF21F7">
        <w:rPr>
          <w:rFonts w:ascii="Arial" w:hAnsi="Arial" w:cs="Arial"/>
          <w:sz w:val="22"/>
          <w:szCs w:val="22"/>
        </w:rPr>
        <w:br/>
        <w:t xml:space="preserve">8AM-8PM EST Monday –Saturday.  </w:t>
      </w:r>
    </w:p>
    <w:p w:rsidR="00681691" w:rsidRPr="00BF21F7" w:rsidRDefault="00272FBC" w:rsidP="00C63FCB">
      <w:pPr>
        <w:pStyle w:val="Heading3"/>
        <w:numPr>
          <w:ilvl w:val="0"/>
          <w:numId w:val="0"/>
        </w:numPr>
        <w:spacing w:before="0"/>
        <w:ind w:left="1440"/>
        <w:rPr>
          <w:rFonts w:ascii="Arial" w:hAnsi="Arial" w:cs="Arial"/>
          <w:sz w:val="22"/>
          <w:szCs w:val="22"/>
        </w:rPr>
      </w:pPr>
      <w:r w:rsidRPr="00BF21F7">
        <w:rPr>
          <w:rFonts w:ascii="Arial" w:hAnsi="Arial" w:cs="Arial"/>
          <w:sz w:val="22"/>
          <w:szCs w:val="22"/>
        </w:rPr>
        <w:t>The inbound call function is available 24 hours of every day.</w:t>
      </w:r>
    </w:p>
    <w:p w:rsidR="00681691" w:rsidRPr="00BF21F7" w:rsidRDefault="00681691" w:rsidP="00EB412B">
      <w:pPr>
        <w:pStyle w:val="Heading1"/>
        <w:rPr>
          <w:rFonts w:ascii="Arial" w:hAnsi="Arial" w:cs="Arial"/>
          <w:sz w:val="22"/>
          <w:szCs w:val="22"/>
        </w:rPr>
      </w:pPr>
      <w:r w:rsidRPr="00BF21F7">
        <w:rPr>
          <w:rFonts w:ascii="Arial" w:hAnsi="Arial" w:cs="Arial"/>
          <w:sz w:val="22"/>
          <w:szCs w:val="22"/>
        </w:rPr>
        <w:t>Solicitation</w:t>
      </w:r>
    </w:p>
    <w:p w:rsidR="00681691" w:rsidRPr="00BF21F7" w:rsidRDefault="00B9348C" w:rsidP="00990C01">
      <w:pPr>
        <w:pStyle w:val="Heading3"/>
        <w:numPr>
          <w:ilvl w:val="0"/>
          <w:numId w:val="0"/>
        </w:numPr>
        <w:ind w:left="720"/>
        <w:rPr>
          <w:rFonts w:ascii="Arial" w:hAnsi="Arial" w:cs="Arial"/>
          <w:sz w:val="22"/>
          <w:szCs w:val="22"/>
        </w:rPr>
      </w:pPr>
      <w:r w:rsidRPr="00BF21F7">
        <w:rPr>
          <w:rFonts w:ascii="Arial" w:hAnsi="Arial" w:cs="Arial"/>
          <w:sz w:val="22"/>
          <w:szCs w:val="22"/>
        </w:rPr>
        <w:t>QDS</w:t>
      </w:r>
      <w:r w:rsidR="00681691" w:rsidRPr="00BF21F7">
        <w:rPr>
          <w:rFonts w:ascii="Arial" w:hAnsi="Arial" w:cs="Arial"/>
          <w:sz w:val="22"/>
          <w:szCs w:val="22"/>
        </w:rPr>
        <w:t xml:space="preserve"> will make 3 attempts to contact borrower/agent within 10 business days of receiving solicitation file from Bank of America</w:t>
      </w:r>
    </w:p>
    <w:p w:rsidR="00681691" w:rsidRPr="00BF21F7" w:rsidRDefault="00681691" w:rsidP="00990C01">
      <w:pPr>
        <w:pStyle w:val="Heading2"/>
        <w:rPr>
          <w:rFonts w:ascii="Arial" w:hAnsi="Arial" w:cs="Arial"/>
          <w:sz w:val="22"/>
          <w:szCs w:val="22"/>
        </w:rPr>
      </w:pPr>
      <w:r w:rsidRPr="00BF21F7">
        <w:rPr>
          <w:rFonts w:ascii="Arial" w:hAnsi="Arial" w:cs="Arial"/>
          <w:sz w:val="22"/>
          <w:szCs w:val="22"/>
        </w:rPr>
        <w:t>Mailing:</w:t>
      </w:r>
    </w:p>
    <w:p w:rsidR="00681691" w:rsidRPr="00BF21F7" w:rsidRDefault="00B9348C" w:rsidP="00C63FCB">
      <w:pPr>
        <w:pStyle w:val="Heading3"/>
        <w:numPr>
          <w:ilvl w:val="0"/>
          <w:numId w:val="0"/>
        </w:numPr>
        <w:spacing w:before="0"/>
        <w:ind w:left="1440"/>
        <w:rPr>
          <w:rFonts w:ascii="Arial" w:eastAsia="Times New Roman" w:hAnsi="Arial" w:cs="Arial"/>
          <w:sz w:val="22"/>
          <w:szCs w:val="22"/>
        </w:rPr>
      </w:pPr>
      <w:r w:rsidRPr="00BF21F7">
        <w:rPr>
          <w:rFonts w:ascii="Arial" w:eastAsia="Times New Roman" w:hAnsi="Arial" w:cs="Arial"/>
          <w:sz w:val="22"/>
          <w:szCs w:val="22"/>
        </w:rPr>
        <w:t>QDS</w:t>
      </w:r>
      <w:r w:rsidR="00681691" w:rsidRPr="00BF21F7">
        <w:rPr>
          <w:rFonts w:ascii="Arial" w:eastAsia="Times New Roman" w:hAnsi="Arial" w:cs="Arial"/>
          <w:sz w:val="22"/>
          <w:szCs w:val="22"/>
        </w:rPr>
        <w:t xml:space="preserve"> will send three mailers, one every three days to the borrower at the address provided.</w:t>
      </w:r>
    </w:p>
    <w:p w:rsidR="00681691" w:rsidRPr="00BF21F7" w:rsidRDefault="00681691" w:rsidP="00990C01">
      <w:pPr>
        <w:pStyle w:val="Heading2"/>
        <w:rPr>
          <w:rFonts w:ascii="Arial" w:hAnsi="Arial" w:cs="Arial"/>
          <w:sz w:val="22"/>
          <w:szCs w:val="22"/>
        </w:rPr>
      </w:pPr>
      <w:r w:rsidRPr="00BF21F7">
        <w:rPr>
          <w:rFonts w:ascii="Arial" w:hAnsi="Arial" w:cs="Arial"/>
          <w:sz w:val="22"/>
          <w:szCs w:val="22"/>
        </w:rPr>
        <w:t xml:space="preserve"> Telephone Out-Reach calls to borrower:</w:t>
      </w:r>
    </w:p>
    <w:p w:rsidR="00681691" w:rsidRPr="00BF21F7" w:rsidRDefault="00681691" w:rsidP="00C63FCB">
      <w:pPr>
        <w:pStyle w:val="Heading3"/>
        <w:numPr>
          <w:ilvl w:val="0"/>
          <w:numId w:val="0"/>
        </w:numPr>
        <w:spacing w:before="0"/>
        <w:ind w:left="1440"/>
        <w:rPr>
          <w:rFonts w:ascii="Arial" w:eastAsia="Times New Roman" w:hAnsi="Arial" w:cs="Arial"/>
          <w:sz w:val="22"/>
          <w:szCs w:val="22"/>
        </w:rPr>
      </w:pPr>
      <w:r w:rsidRPr="00BF21F7">
        <w:rPr>
          <w:rFonts w:ascii="Arial" w:eastAsia="Times New Roman" w:hAnsi="Arial" w:cs="Arial"/>
          <w:sz w:val="22"/>
          <w:szCs w:val="22"/>
        </w:rPr>
        <w:t xml:space="preserve">When there is a phone number available, </w:t>
      </w:r>
      <w:r w:rsidR="00B9348C" w:rsidRPr="00BF21F7">
        <w:rPr>
          <w:rFonts w:ascii="Arial" w:eastAsia="Times New Roman" w:hAnsi="Arial" w:cs="Arial"/>
          <w:sz w:val="22"/>
          <w:szCs w:val="22"/>
        </w:rPr>
        <w:t>QDS</w:t>
      </w:r>
      <w:r w:rsidRPr="00BF21F7">
        <w:rPr>
          <w:rFonts w:ascii="Arial" w:eastAsia="Times New Roman" w:hAnsi="Arial" w:cs="Arial"/>
          <w:sz w:val="22"/>
          <w:szCs w:val="22"/>
        </w:rPr>
        <w:t xml:space="preserve"> will call the borrower three times, at different times of the day and including once on a Saturday.  The Call center is available f</w:t>
      </w:r>
      <w:r w:rsidR="00272FBC" w:rsidRPr="00BF21F7">
        <w:rPr>
          <w:rFonts w:ascii="Arial" w:eastAsia="Times New Roman" w:hAnsi="Arial" w:cs="Arial"/>
          <w:sz w:val="22"/>
          <w:szCs w:val="22"/>
        </w:rPr>
        <w:t>ro</w:t>
      </w:r>
      <w:r w:rsidRPr="00BF21F7">
        <w:rPr>
          <w:rFonts w:ascii="Arial" w:eastAsia="Times New Roman" w:hAnsi="Arial" w:cs="Arial"/>
          <w:sz w:val="22"/>
          <w:szCs w:val="22"/>
        </w:rPr>
        <w:t>m 8AM-8PM EST Monday –Saturday.  The inbound call function is available 24 hours of every day.</w:t>
      </w:r>
    </w:p>
    <w:p w:rsidR="00990C01" w:rsidRPr="00BF21F7" w:rsidRDefault="00990C01" w:rsidP="00C63FCB">
      <w:pPr>
        <w:pStyle w:val="Heading3"/>
        <w:numPr>
          <w:ilvl w:val="0"/>
          <w:numId w:val="0"/>
        </w:numPr>
        <w:spacing w:before="0"/>
        <w:ind w:left="1440"/>
        <w:rPr>
          <w:rFonts w:ascii="Arial" w:eastAsia="Times New Roman" w:hAnsi="Arial" w:cs="Arial"/>
          <w:sz w:val="22"/>
          <w:szCs w:val="22"/>
        </w:rPr>
      </w:pPr>
      <w:r w:rsidRPr="00BF21F7">
        <w:rPr>
          <w:rFonts w:ascii="Arial" w:eastAsia="Times New Roman" w:hAnsi="Arial" w:cs="Arial"/>
          <w:sz w:val="22"/>
          <w:szCs w:val="22"/>
        </w:rPr>
        <w:t xml:space="preserve">Dialogue Marketing </w:t>
      </w:r>
      <w:r w:rsidR="00681691" w:rsidRPr="00BF21F7">
        <w:rPr>
          <w:rFonts w:ascii="Arial" w:eastAsia="Times New Roman" w:hAnsi="Arial" w:cs="Arial"/>
          <w:sz w:val="22"/>
          <w:szCs w:val="22"/>
        </w:rPr>
        <w:t xml:space="preserve">is qualified to explain liquidation alternative options to the borrower, and will do so on the out-reach calls.  </w:t>
      </w:r>
    </w:p>
    <w:p w:rsidR="00681691" w:rsidRPr="00BF21F7" w:rsidRDefault="00990C01" w:rsidP="00C63FCB">
      <w:pPr>
        <w:pStyle w:val="RFP3Para"/>
        <w:ind w:left="1440"/>
        <w:rPr>
          <w:rFonts w:ascii="Arial" w:hAnsi="Arial" w:cs="Arial"/>
          <w:sz w:val="22"/>
          <w:szCs w:val="22"/>
        </w:rPr>
      </w:pPr>
      <w:r w:rsidRPr="00BF21F7">
        <w:rPr>
          <w:rFonts w:ascii="Arial" w:hAnsi="Arial" w:cs="Arial"/>
          <w:i/>
          <w:sz w:val="22"/>
          <w:szCs w:val="22"/>
        </w:rPr>
        <w:t>Risk Management</w:t>
      </w:r>
      <w:r w:rsidRPr="00BF21F7">
        <w:rPr>
          <w:rFonts w:ascii="Arial" w:hAnsi="Arial" w:cs="Arial"/>
          <w:sz w:val="22"/>
          <w:szCs w:val="22"/>
        </w:rPr>
        <w:t xml:space="preserve">: </w:t>
      </w:r>
      <w:r w:rsidR="00681691" w:rsidRPr="00BF21F7">
        <w:rPr>
          <w:rFonts w:ascii="Arial" w:hAnsi="Arial" w:cs="Arial"/>
          <w:sz w:val="22"/>
          <w:szCs w:val="22"/>
        </w:rPr>
        <w:t>In addition all certified consortium real estate agents will be required to provide the borrower with a DVD explaining the HAFA and traditional short sale options.  In that way the person who goes to help them out with the paperwork and the decision will each provide the exact same disclosure to the borrower.  After listing the property, the borrower will get a quality control feedback questionnaire assuring us that they were handled properly.</w:t>
      </w:r>
    </w:p>
    <w:p w:rsidR="00681691" w:rsidRPr="00BF21F7" w:rsidRDefault="00990C01" w:rsidP="00C63FCB">
      <w:pPr>
        <w:pStyle w:val="RFP3Para"/>
        <w:ind w:left="1440"/>
        <w:rPr>
          <w:rFonts w:ascii="Arial" w:hAnsi="Arial" w:cs="Arial"/>
          <w:color w:val="F79646" w:themeColor="accent6"/>
          <w:sz w:val="22"/>
          <w:szCs w:val="22"/>
        </w:rPr>
      </w:pPr>
      <w:r w:rsidRPr="00BF21F7">
        <w:rPr>
          <w:rFonts w:ascii="Arial" w:hAnsi="Arial" w:cs="Arial"/>
          <w:i/>
          <w:sz w:val="22"/>
          <w:szCs w:val="22"/>
        </w:rPr>
        <w:t>Deed in Lieu:</w:t>
      </w:r>
      <w:r w:rsidRPr="00BF21F7">
        <w:rPr>
          <w:rFonts w:ascii="Arial" w:hAnsi="Arial" w:cs="Arial"/>
          <w:sz w:val="22"/>
          <w:szCs w:val="22"/>
        </w:rPr>
        <w:t xml:space="preserve">  </w:t>
      </w:r>
      <w:r w:rsidR="00681691" w:rsidRPr="00BF21F7">
        <w:rPr>
          <w:rFonts w:ascii="Arial" w:hAnsi="Arial" w:cs="Arial"/>
          <w:sz w:val="22"/>
          <w:szCs w:val="22"/>
        </w:rPr>
        <w:t xml:space="preserve">In the event the Outsource partner has determined that the short sale is rejected for Short Sale for some reason, </w:t>
      </w:r>
      <w:r w:rsidR="00B9348C" w:rsidRPr="00BF21F7">
        <w:rPr>
          <w:rFonts w:ascii="Arial" w:hAnsi="Arial" w:cs="Arial"/>
          <w:sz w:val="22"/>
          <w:szCs w:val="22"/>
        </w:rPr>
        <w:t>QDS</w:t>
      </w:r>
      <w:r w:rsidR="00681691" w:rsidRPr="00BF21F7">
        <w:rPr>
          <w:rFonts w:ascii="Arial" w:hAnsi="Arial" w:cs="Arial"/>
          <w:sz w:val="22"/>
          <w:szCs w:val="22"/>
        </w:rPr>
        <w:t xml:space="preserve">will have the </w:t>
      </w:r>
      <w:r w:rsidRPr="00BF21F7">
        <w:rPr>
          <w:rFonts w:ascii="Arial" w:hAnsi="Arial" w:cs="Arial"/>
          <w:sz w:val="22"/>
          <w:szCs w:val="22"/>
        </w:rPr>
        <w:t>Dialogue Marketing</w:t>
      </w:r>
      <w:r w:rsidR="00681691" w:rsidRPr="00BF21F7">
        <w:rPr>
          <w:rFonts w:ascii="Arial" w:hAnsi="Arial" w:cs="Arial"/>
          <w:sz w:val="22"/>
          <w:szCs w:val="22"/>
        </w:rPr>
        <w:t xml:space="preserve"> call center re-contact the borrower to determine interest in other voluntary liquidation methods.  </w:t>
      </w:r>
      <w:r w:rsidR="00681691" w:rsidRPr="00BF21F7">
        <w:rPr>
          <w:rFonts w:ascii="Arial" w:hAnsi="Arial" w:cs="Arial"/>
          <w:color w:val="F79646" w:themeColor="accent6"/>
          <w:sz w:val="22"/>
          <w:szCs w:val="22"/>
        </w:rPr>
        <w:t>This could also be done by the Realtor if it is listed with one.  That is assuming it doesn’t require a debt-collectors license to do it.</w:t>
      </w:r>
    </w:p>
    <w:p w:rsidR="00681691" w:rsidRPr="00BF21F7" w:rsidRDefault="00681691" w:rsidP="00990C01">
      <w:pPr>
        <w:pStyle w:val="RFP3Para"/>
        <w:ind w:left="810"/>
        <w:rPr>
          <w:rFonts w:ascii="Arial" w:hAnsi="Arial" w:cs="Arial"/>
          <w:sz w:val="22"/>
          <w:szCs w:val="22"/>
        </w:rPr>
      </w:pPr>
      <w:r w:rsidRPr="00BF21F7">
        <w:rPr>
          <w:rFonts w:ascii="Arial" w:hAnsi="Arial" w:cs="Arial"/>
          <w:sz w:val="22"/>
          <w:szCs w:val="22"/>
        </w:rPr>
        <w:t xml:space="preserve">Note:  Dialogue-Marketing </w:t>
      </w:r>
      <w:r w:rsidR="00272FBC" w:rsidRPr="00BF21F7">
        <w:rPr>
          <w:rFonts w:ascii="Arial" w:hAnsi="Arial" w:cs="Arial"/>
          <w:sz w:val="22"/>
          <w:szCs w:val="22"/>
        </w:rPr>
        <w:t>has the following certifications</w:t>
      </w:r>
      <w:r w:rsidRPr="00BF21F7">
        <w:rPr>
          <w:rFonts w:ascii="Arial" w:hAnsi="Arial" w:cs="Arial"/>
          <w:sz w:val="22"/>
          <w:szCs w:val="22"/>
        </w:rPr>
        <w:t>:</w:t>
      </w:r>
    </w:p>
    <w:p w:rsidR="00681691" w:rsidRPr="00BF21F7" w:rsidRDefault="00681691" w:rsidP="00990C01">
      <w:pPr>
        <w:pStyle w:val="RFP3Para"/>
        <w:spacing w:before="0" w:after="0"/>
        <w:ind w:left="1530"/>
        <w:rPr>
          <w:rFonts w:ascii="Arial" w:hAnsi="Arial" w:cs="Arial"/>
          <w:sz w:val="22"/>
          <w:szCs w:val="22"/>
        </w:rPr>
      </w:pPr>
      <w:r w:rsidRPr="00BF21F7">
        <w:rPr>
          <w:rFonts w:ascii="Arial" w:hAnsi="Arial" w:cs="Arial"/>
          <w:sz w:val="22"/>
          <w:szCs w:val="22"/>
        </w:rPr>
        <w:t>ISO 9000</w:t>
      </w:r>
    </w:p>
    <w:p w:rsidR="00681691" w:rsidRPr="00BF21F7" w:rsidRDefault="00681691" w:rsidP="00990C01">
      <w:pPr>
        <w:pStyle w:val="RFP3Para"/>
        <w:spacing w:before="0" w:after="0"/>
        <w:ind w:left="1530"/>
        <w:rPr>
          <w:rFonts w:ascii="Arial" w:hAnsi="Arial" w:cs="Arial"/>
          <w:sz w:val="22"/>
          <w:szCs w:val="22"/>
        </w:rPr>
      </w:pPr>
      <w:r w:rsidRPr="00BF21F7">
        <w:rPr>
          <w:rFonts w:ascii="Arial" w:hAnsi="Arial" w:cs="Arial"/>
          <w:sz w:val="22"/>
          <w:szCs w:val="22"/>
        </w:rPr>
        <w:lastRenderedPageBreak/>
        <w:t>SAS 70 Type II Certified</w:t>
      </w:r>
    </w:p>
    <w:p w:rsidR="00681691" w:rsidRPr="00BF21F7" w:rsidRDefault="00681691" w:rsidP="00990C01">
      <w:pPr>
        <w:pStyle w:val="RFP3Para"/>
        <w:spacing w:before="0" w:after="0"/>
        <w:ind w:left="1530"/>
        <w:rPr>
          <w:rFonts w:ascii="Arial" w:hAnsi="Arial" w:cs="Arial"/>
          <w:sz w:val="22"/>
          <w:szCs w:val="22"/>
        </w:rPr>
      </w:pPr>
      <w:r w:rsidRPr="00BF21F7">
        <w:rPr>
          <w:rFonts w:ascii="Arial" w:hAnsi="Arial" w:cs="Arial"/>
          <w:sz w:val="22"/>
          <w:szCs w:val="22"/>
        </w:rPr>
        <w:t>PCI Compliant</w:t>
      </w:r>
    </w:p>
    <w:p w:rsidR="00681691" w:rsidRPr="00BF21F7" w:rsidRDefault="00681691" w:rsidP="00990C01">
      <w:pPr>
        <w:pStyle w:val="RFP3Para"/>
        <w:spacing w:before="0" w:after="0"/>
        <w:ind w:left="1530"/>
        <w:rPr>
          <w:rFonts w:ascii="Arial" w:hAnsi="Arial" w:cs="Arial"/>
          <w:sz w:val="22"/>
          <w:szCs w:val="22"/>
        </w:rPr>
      </w:pPr>
      <w:r w:rsidRPr="00BF21F7">
        <w:rPr>
          <w:rFonts w:ascii="Arial" w:hAnsi="Arial" w:cs="Arial"/>
          <w:sz w:val="22"/>
          <w:szCs w:val="22"/>
        </w:rPr>
        <w:t>Fair Debt Compliant</w:t>
      </w:r>
    </w:p>
    <w:p w:rsidR="00681691" w:rsidRPr="00BF21F7" w:rsidRDefault="00681691" w:rsidP="00990C01">
      <w:pPr>
        <w:pStyle w:val="Heading2"/>
        <w:rPr>
          <w:rFonts w:ascii="Arial" w:hAnsi="Arial" w:cs="Arial"/>
          <w:sz w:val="22"/>
          <w:szCs w:val="22"/>
        </w:rPr>
      </w:pPr>
      <w:r w:rsidRPr="00BF21F7">
        <w:rPr>
          <w:rFonts w:ascii="Arial" w:hAnsi="Arial" w:cs="Arial"/>
          <w:sz w:val="22"/>
          <w:szCs w:val="22"/>
        </w:rPr>
        <w:t>Calls Abandon Ratio &lt; 5%</w:t>
      </w:r>
    </w:p>
    <w:p w:rsidR="00681691" w:rsidRPr="00BF21F7" w:rsidRDefault="00681691" w:rsidP="00990C01">
      <w:pPr>
        <w:pStyle w:val="Heading2"/>
        <w:rPr>
          <w:rFonts w:ascii="Arial" w:hAnsi="Arial" w:cs="Arial"/>
          <w:sz w:val="22"/>
          <w:szCs w:val="22"/>
        </w:rPr>
      </w:pPr>
      <w:r w:rsidRPr="00BF21F7">
        <w:rPr>
          <w:rFonts w:ascii="Arial" w:hAnsi="Arial" w:cs="Arial"/>
          <w:sz w:val="22"/>
          <w:szCs w:val="22"/>
        </w:rPr>
        <w:t>ASA &lt; 30 seconds</w:t>
      </w:r>
    </w:p>
    <w:p w:rsidR="00681691" w:rsidRPr="00BF21F7" w:rsidRDefault="00681691" w:rsidP="00990C01">
      <w:pPr>
        <w:pStyle w:val="Heading2"/>
        <w:rPr>
          <w:rFonts w:ascii="Arial" w:hAnsi="Arial" w:cs="Arial"/>
          <w:sz w:val="22"/>
          <w:szCs w:val="22"/>
        </w:rPr>
      </w:pPr>
      <w:r w:rsidRPr="00BF21F7">
        <w:rPr>
          <w:rFonts w:ascii="Arial" w:hAnsi="Arial" w:cs="Arial"/>
          <w:sz w:val="22"/>
          <w:szCs w:val="22"/>
        </w:rPr>
        <w:t>Quality Score (with input from client) &gt; 80%</w:t>
      </w:r>
    </w:p>
    <w:p w:rsidR="00681691" w:rsidRPr="00BF21F7" w:rsidRDefault="00681691" w:rsidP="00990C01">
      <w:pPr>
        <w:pStyle w:val="Heading2"/>
        <w:rPr>
          <w:rFonts w:ascii="Arial" w:hAnsi="Arial" w:cs="Arial"/>
          <w:sz w:val="22"/>
          <w:szCs w:val="22"/>
        </w:rPr>
      </w:pPr>
      <w:r w:rsidRPr="00BF21F7">
        <w:rPr>
          <w:rFonts w:ascii="Arial" w:hAnsi="Arial" w:cs="Arial"/>
          <w:sz w:val="22"/>
          <w:szCs w:val="22"/>
        </w:rPr>
        <w:t>Outbound Solicitation &gt; 25% right party contact ratio</w:t>
      </w:r>
    </w:p>
    <w:p w:rsidR="00681691" w:rsidRPr="00BF21F7" w:rsidRDefault="00681691" w:rsidP="00C63FCB">
      <w:pPr>
        <w:pStyle w:val="Heading2"/>
        <w:numPr>
          <w:ilvl w:val="0"/>
          <w:numId w:val="0"/>
        </w:numPr>
        <w:tabs>
          <w:tab w:val="clear" w:pos="720"/>
          <w:tab w:val="left" w:pos="1440"/>
        </w:tabs>
        <w:ind w:left="1440"/>
        <w:rPr>
          <w:rFonts w:ascii="Arial" w:hAnsi="Arial" w:cs="Arial"/>
          <w:sz w:val="22"/>
          <w:szCs w:val="22"/>
        </w:rPr>
      </w:pPr>
      <w:r w:rsidRPr="00BF21F7">
        <w:rPr>
          <w:rFonts w:ascii="Arial" w:hAnsi="Arial" w:cs="Arial"/>
          <w:sz w:val="22"/>
          <w:szCs w:val="22"/>
        </w:rPr>
        <w:t>When there is a phone number associated with the file, we expect the right-party contact to be higher than 25%.  In addition, we will be sending three mailers to the borrower.</w:t>
      </w:r>
    </w:p>
    <w:p w:rsidR="00681691" w:rsidRPr="00BF21F7" w:rsidRDefault="00681691" w:rsidP="00990C01">
      <w:pPr>
        <w:pStyle w:val="Heading2"/>
        <w:rPr>
          <w:rFonts w:ascii="Arial" w:hAnsi="Arial" w:cs="Arial"/>
          <w:sz w:val="22"/>
          <w:szCs w:val="22"/>
        </w:rPr>
      </w:pPr>
      <w:r w:rsidRPr="00BF21F7">
        <w:rPr>
          <w:rFonts w:ascii="Arial" w:hAnsi="Arial" w:cs="Arial"/>
          <w:sz w:val="22"/>
          <w:szCs w:val="22"/>
        </w:rPr>
        <w:t>Conversions &gt; 60% (welcome packages returned / right party contacts)</w:t>
      </w:r>
    </w:p>
    <w:p w:rsidR="00681691" w:rsidRPr="00BF21F7" w:rsidRDefault="00681691" w:rsidP="00C63FCB">
      <w:pPr>
        <w:pStyle w:val="Heading2"/>
        <w:numPr>
          <w:ilvl w:val="0"/>
          <w:numId w:val="0"/>
        </w:numPr>
        <w:tabs>
          <w:tab w:val="clear" w:pos="720"/>
          <w:tab w:val="left" w:pos="1440"/>
        </w:tabs>
        <w:ind w:left="1440"/>
        <w:rPr>
          <w:rFonts w:ascii="Arial" w:hAnsi="Arial" w:cs="Arial"/>
          <w:sz w:val="22"/>
          <w:szCs w:val="22"/>
        </w:rPr>
      </w:pPr>
      <w:r w:rsidRPr="00BF21F7">
        <w:rPr>
          <w:rFonts w:ascii="Arial" w:hAnsi="Arial" w:cs="Arial"/>
          <w:sz w:val="22"/>
          <w:szCs w:val="22"/>
        </w:rPr>
        <w:t xml:space="preserve">Our evidence is that when the package is sent out without any further intervention with the borrower, the returns are less than 15%.  </w:t>
      </w:r>
      <w:r w:rsidRPr="00BF21F7">
        <w:rPr>
          <w:rFonts w:ascii="Arial" w:hAnsi="Arial" w:cs="Arial"/>
          <w:sz w:val="22"/>
          <w:szCs w:val="22"/>
        </w:rPr>
        <w:br/>
      </w:r>
      <w:r w:rsidRPr="00BF21F7">
        <w:rPr>
          <w:rFonts w:ascii="Arial" w:hAnsi="Arial" w:cs="Arial"/>
          <w:sz w:val="22"/>
          <w:szCs w:val="22"/>
        </w:rPr>
        <w:br/>
        <w:t xml:space="preserve">As a result, </w:t>
      </w:r>
      <w:r w:rsidR="00B9348C" w:rsidRPr="00BF21F7">
        <w:rPr>
          <w:rFonts w:ascii="Arial" w:hAnsi="Arial" w:cs="Arial"/>
          <w:sz w:val="22"/>
          <w:szCs w:val="22"/>
        </w:rPr>
        <w:t xml:space="preserve">QDS </w:t>
      </w:r>
      <w:r w:rsidRPr="00BF21F7">
        <w:rPr>
          <w:rFonts w:ascii="Arial" w:hAnsi="Arial" w:cs="Arial"/>
          <w:sz w:val="22"/>
          <w:szCs w:val="22"/>
        </w:rPr>
        <w:t>will have a local, certified Short Sale agent call on the borrower to sit with them to complete the package.  In that instance</w:t>
      </w:r>
      <w:r w:rsidR="00B9348C" w:rsidRPr="00BF21F7">
        <w:rPr>
          <w:rFonts w:ascii="Arial" w:hAnsi="Arial" w:cs="Arial"/>
          <w:sz w:val="22"/>
          <w:szCs w:val="22"/>
        </w:rPr>
        <w:t xml:space="preserve"> </w:t>
      </w:r>
      <w:r w:rsidRPr="00BF21F7">
        <w:rPr>
          <w:rFonts w:ascii="Arial" w:hAnsi="Arial" w:cs="Arial"/>
          <w:sz w:val="22"/>
          <w:szCs w:val="22"/>
        </w:rPr>
        <w:t>expect the return to be close to 80%.</w:t>
      </w:r>
    </w:p>
    <w:p w:rsidR="00681691" w:rsidRPr="00BF21F7" w:rsidRDefault="00B97410" w:rsidP="00EB412B">
      <w:pPr>
        <w:pStyle w:val="Heading1"/>
        <w:rPr>
          <w:rFonts w:ascii="Arial" w:hAnsi="Arial" w:cs="Arial"/>
          <w:sz w:val="22"/>
          <w:szCs w:val="22"/>
        </w:rPr>
      </w:pPr>
      <w:r w:rsidRPr="00BF21F7">
        <w:rPr>
          <w:rFonts w:ascii="Arial" w:hAnsi="Arial" w:cs="Arial"/>
          <w:sz w:val="22"/>
          <w:szCs w:val="22"/>
        </w:rPr>
        <w:t>Asset Management</w:t>
      </w:r>
    </w:p>
    <w:p w:rsidR="00B97410" w:rsidRPr="00BF21F7" w:rsidRDefault="00B97410" w:rsidP="00C63FCB">
      <w:pPr>
        <w:pStyle w:val="Heading2"/>
        <w:tabs>
          <w:tab w:val="clear" w:pos="720"/>
          <w:tab w:val="left" w:pos="1440"/>
        </w:tabs>
        <w:ind w:left="1440" w:hanging="720"/>
        <w:rPr>
          <w:rFonts w:ascii="Arial" w:hAnsi="Arial" w:cs="Arial"/>
          <w:sz w:val="22"/>
          <w:szCs w:val="22"/>
        </w:rPr>
      </w:pPr>
      <w:r w:rsidRPr="00BF21F7">
        <w:rPr>
          <w:rFonts w:ascii="Arial" w:hAnsi="Arial" w:cs="Arial"/>
          <w:sz w:val="22"/>
          <w:szCs w:val="22"/>
        </w:rPr>
        <w:t>Liquidations &gt; 40% of the conversions.  This metric is stated as a minimum expectation, Bank of America and Supplier are aligned on establishing a process to promote the successful closing of a significant percentage of the files as provided for Short Sale.</w:t>
      </w:r>
    </w:p>
    <w:p w:rsidR="00B97410" w:rsidRPr="00BF21F7" w:rsidRDefault="00B97410" w:rsidP="00C63FCB">
      <w:pPr>
        <w:pStyle w:val="Heading2"/>
        <w:tabs>
          <w:tab w:val="clear" w:pos="720"/>
          <w:tab w:val="left" w:pos="1440"/>
        </w:tabs>
        <w:ind w:left="1440" w:hanging="720"/>
        <w:rPr>
          <w:rFonts w:ascii="Arial" w:hAnsi="Arial" w:cs="Arial"/>
          <w:sz w:val="22"/>
          <w:szCs w:val="22"/>
        </w:rPr>
      </w:pPr>
      <w:r w:rsidRPr="00BF21F7">
        <w:rPr>
          <w:rFonts w:ascii="Arial" w:hAnsi="Arial" w:cs="Arial"/>
          <w:sz w:val="22"/>
          <w:szCs w:val="22"/>
        </w:rPr>
        <w:t>Value and market properties to solicit a contractual offer to liquidate the property within a specific time frame that is outlined and approved by Bank of America, in a 90 day or less time period from listing to closing under certain conditions with 120 days as a benchmark.</w:t>
      </w:r>
    </w:p>
    <w:p w:rsidR="00B97410" w:rsidRPr="00BF21F7" w:rsidRDefault="00B97410" w:rsidP="00C63FCB">
      <w:pPr>
        <w:pStyle w:val="Heading2"/>
        <w:tabs>
          <w:tab w:val="clear" w:pos="720"/>
          <w:tab w:val="left" w:pos="1440"/>
        </w:tabs>
        <w:ind w:left="1440" w:hanging="720"/>
        <w:rPr>
          <w:rFonts w:ascii="Arial" w:hAnsi="Arial" w:cs="Arial"/>
          <w:sz w:val="22"/>
          <w:szCs w:val="22"/>
        </w:rPr>
      </w:pPr>
      <w:r w:rsidRPr="00BF21F7">
        <w:rPr>
          <w:rFonts w:ascii="Arial" w:hAnsi="Arial" w:cs="Arial"/>
          <w:sz w:val="22"/>
          <w:szCs w:val="22"/>
        </w:rPr>
        <w:t xml:space="preserve">End to End timeline (receipt of file to successful closing) will not exceed 150 days.  This timeline is inclusive of (ii) of this Section and is not intended to be an average timeframe for a Short Sale successful completion.  As per the Reporting Section, Supplier will provide detail status of each file to promote oversight by Bank of America to escalate/resolve issues and disposition files accordingly based on the total number of days Supplier has had the file. </w:t>
      </w:r>
    </w:p>
    <w:p w:rsidR="00B97410" w:rsidRPr="00BF21F7" w:rsidRDefault="00B97410" w:rsidP="00990C01">
      <w:pPr>
        <w:pStyle w:val="Heading2"/>
        <w:rPr>
          <w:rFonts w:ascii="Arial" w:hAnsi="Arial" w:cs="Arial"/>
          <w:sz w:val="22"/>
          <w:szCs w:val="22"/>
        </w:rPr>
      </w:pPr>
      <w:r w:rsidRPr="00BF21F7">
        <w:rPr>
          <w:rFonts w:ascii="Arial" w:hAnsi="Arial" w:cs="Arial"/>
          <w:sz w:val="22"/>
          <w:szCs w:val="22"/>
        </w:rPr>
        <w:t>Values will be supplied to Supplier within 7 days by 3rd party vendor</w:t>
      </w:r>
    </w:p>
    <w:p w:rsidR="00B97410" w:rsidRPr="00BF21F7" w:rsidRDefault="00B97410" w:rsidP="00990C01">
      <w:pPr>
        <w:pStyle w:val="Heading2"/>
        <w:rPr>
          <w:rFonts w:ascii="Arial" w:hAnsi="Arial" w:cs="Arial"/>
          <w:sz w:val="22"/>
          <w:szCs w:val="22"/>
        </w:rPr>
      </w:pPr>
      <w:r w:rsidRPr="00BF21F7">
        <w:rPr>
          <w:rFonts w:ascii="Arial" w:hAnsi="Arial" w:cs="Arial"/>
          <w:sz w:val="22"/>
          <w:szCs w:val="22"/>
        </w:rPr>
        <w:t xml:space="preserve">Updated values will be ordered every 90 days by Supplier. </w:t>
      </w:r>
    </w:p>
    <w:p w:rsidR="00B97410" w:rsidRPr="00BF21F7" w:rsidRDefault="00B97410" w:rsidP="00990C01">
      <w:pPr>
        <w:pStyle w:val="Heading2"/>
        <w:rPr>
          <w:rFonts w:ascii="Arial" w:hAnsi="Arial" w:cs="Arial"/>
          <w:sz w:val="22"/>
          <w:szCs w:val="22"/>
        </w:rPr>
      </w:pPr>
      <w:r w:rsidRPr="00BF21F7">
        <w:rPr>
          <w:rFonts w:ascii="Arial" w:hAnsi="Arial" w:cs="Arial"/>
          <w:sz w:val="22"/>
          <w:szCs w:val="22"/>
        </w:rPr>
        <w:t>Title will be supplied within 10 days</w:t>
      </w:r>
    </w:p>
    <w:p w:rsidR="00B97410" w:rsidRPr="00BF21F7" w:rsidRDefault="00B97410" w:rsidP="00C63FCB">
      <w:pPr>
        <w:pStyle w:val="Heading2"/>
        <w:tabs>
          <w:tab w:val="clear" w:pos="720"/>
          <w:tab w:val="left" w:pos="1440"/>
        </w:tabs>
        <w:ind w:left="1440" w:hanging="720"/>
        <w:rPr>
          <w:rFonts w:ascii="Arial" w:hAnsi="Arial" w:cs="Arial"/>
          <w:sz w:val="22"/>
          <w:szCs w:val="22"/>
        </w:rPr>
      </w:pPr>
      <w:r w:rsidRPr="00BF21F7">
        <w:rPr>
          <w:rFonts w:ascii="Arial" w:hAnsi="Arial" w:cs="Arial"/>
          <w:sz w:val="22"/>
          <w:szCs w:val="22"/>
        </w:rPr>
        <w:t>BANK OF AMERICA will provide updated delegated Reserve Amounts at a minimum of (90) Days</w:t>
      </w:r>
    </w:p>
    <w:p w:rsidR="00B97410" w:rsidRPr="00BF21F7" w:rsidRDefault="00B97410" w:rsidP="00C63FCB">
      <w:pPr>
        <w:pStyle w:val="Heading2"/>
        <w:tabs>
          <w:tab w:val="clear" w:pos="720"/>
          <w:tab w:val="left" w:pos="1440"/>
        </w:tabs>
        <w:ind w:left="1440" w:hanging="720"/>
        <w:rPr>
          <w:rFonts w:ascii="Arial" w:hAnsi="Arial" w:cs="Arial"/>
          <w:sz w:val="22"/>
          <w:szCs w:val="22"/>
        </w:rPr>
      </w:pPr>
      <w:r w:rsidRPr="00BF21F7">
        <w:rPr>
          <w:rFonts w:ascii="Arial" w:hAnsi="Arial" w:cs="Arial"/>
          <w:sz w:val="22"/>
          <w:szCs w:val="22"/>
        </w:rPr>
        <w:t>Supplier will provide a response to Broker offers with no MI or subordinate lien approval needed within 24 hours (this SLA is only applicable to “Offers”) with the following responses:</w:t>
      </w:r>
    </w:p>
    <w:p w:rsidR="00B97410" w:rsidRPr="00BF21F7" w:rsidRDefault="00B97410" w:rsidP="00B9348C">
      <w:pPr>
        <w:pStyle w:val="Heading3"/>
        <w:spacing w:before="0"/>
        <w:rPr>
          <w:rFonts w:ascii="Arial" w:hAnsi="Arial" w:cs="Arial"/>
          <w:sz w:val="22"/>
          <w:szCs w:val="22"/>
        </w:rPr>
      </w:pPr>
      <w:r w:rsidRPr="00BF21F7">
        <w:rPr>
          <w:rFonts w:ascii="Arial" w:hAnsi="Arial" w:cs="Arial"/>
          <w:sz w:val="22"/>
          <w:szCs w:val="22"/>
        </w:rPr>
        <w:t>Approve</w:t>
      </w:r>
    </w:p>
    <w:p w:rsidR="00B97410" w:rsidRPr="00BF21F7" w:rsidRDefault="00B97410" w:rsidP="00B9348C">
      <w:pPr>
        <w:pStyle w:val="Heading3"/>
        <w:spacing w:before="0"/>
        <w:rPr>
          <w:rFonts w:ascii="Arial" w:hAnsi="Arial" w:cs="Arial"/>
          <w:sz w:val="22"/>
          <w:szCs w:val="22"/>
        </w:rPr>
      </w:pPr>
      <w:r w:rsidRPr="00BF21F7">
        <w:rPr>
          <w:rFonts w:ascii="Arial" w:hAnsi="Arial" w:cs="Arial"/>
          <w:sz w:val="22"/>
          <w:szCs w:val="22"/>
        </w:rPr>
        <w:lastRenderedPageBreak/>
        <w:t>Negotiate</w:t>
      </w:r>
    </w:p>
    <w:p w:rsidR="00B97410" w:rsidRPr="00BF21F7" w:rsidRDefault="00B97410" w:rsidP="00B9348C">
      <w:pPr>
        <w:pStyle w:val="Heading3"/>
        <w:spacing w:before="0"/>
        <w:rPr>
          <w:rFonts w:ascii="Arial" w:hAnsi="Arial" w:cs="Arial"/>
          <w:sz w:val="22"/>
          <w:szCs w:val="22"/>
        </w:rPr>
      </w:pPr>
      <w:r w:rsidRPr="00BF21F7">
        <w:rPr>
          <w:rFonts w:ascii="Arial" w:hAnsi="Arial" w:cs="Arial"/>
          <w:sz w:val="22"/>
          <w:szCs w:val="22"/>
        </w:rPr>
        <w:t>Decline Cooperative Program</w:t>
      </w:r>
    </w:p>
    <w:p w:rsidR="00B97410" w:rsidRPr="00BF21F7" w:rsidRDefault="00B97410" w:rsidP="00B9348C">
      <w:pPr>
        <w:pStyle w:val="Heading3"/>
        <w:spacing w:before="0"/>
        <w:rPr>
          <w:rFonts w:ascii="Arial" w:hAnsi="Arial" w:cs="Arial"/>
          <w:sz w:val="22"/>
          <w:szCs w:val="22"/>
        </w:rPr>
      </w:pPr>
      <w:r w:rsidRPr="00BF21F7">
        <w:rPr>
          <w:rFonts w:ascii="Arial" w:hAnsi="Arial" w:cs="Arial"/>
          <w:sz w:val="22"/>
          <w:szCs w:val="22"/>
        </w:rPr>
        <w:t>Suspend Cooperative Program</w:t>
      </w:r>
    </w:p>
    <w:p w:rsidR="00C302E0" w:rsidRPr="00BF21F7" w:rsidRDefault="00B9348C" w:rsidP="00EB412B">
      <w:pPr>
        <w:pStyle w:val="Heading1"/>
        <w:rPr>
          <w:rFonts w:ascii="Arial" w:hAnsi="Arial" w:cs="Arial"/>
          <w:sz w:val="22"/>
          <w:szCs w:val="22"/>
        </w:rPr>
      </w:pPr>
      <w:r w:rsidRPr="00BF21F7">
        <w:rPr>
          <w:rFonts w:ascii="Arial" w:hAnsi="Arial" w:cs="Arial"/>
          <w:sz w:val="22"/>
          <w:szCs w:val="22"/>
        </w:rPr>
        <w:t>Realtors and Marketing the Properties</w:t>
      </w:r>
    </w:p>
    <w:p w:rsidR="00B9348C" w:rsidRPr="00BF21F7" w:rsidRDefault="00B9348C" w:rsidP="00EB412B">
      <w:pPr>
        <w:tabs>
          <w:tab w:val="left" w:pos="810"/>
        </w:tabs>
        <w:spacing w:after="120"/>
        <w:ind w:left="450"/>
        <w:rPr>
          <w:rFonts w:ascii="Arial" w:hAnsi="Arial" w:cs="Arial"/>
          <w:sz w:val="22"/>
          <w:szCs w:val="22"/>
        </w:rPr>
      </w:pPr>
      <w:r w:rsidRPr="00BF21F7">
        <w:rPr>
          <w:rFonts w:ascii="Arial" w:hAnsi="Arial" w:cs="Arial"/>
          <w:sz w:val="22"/>
          <w:szCs w:val="22"/>
        </w:rPr>
        <w:t>We have created a consortium of contractually aligned real estate firms across the country whom we have indoctrinated, trained and who are committed to our processes.  What separates them from the general Realtor population is:</w:t>
      </w:r>
    </w:p>
    <w:p w:rsidR="000D6A3E" w:rsidRPr="00BF21F7" w:rsidRDefault="000D6A3E" w:rsidP="000D6A3E">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Scalability to large numbers of transactions</w:t>
      </w:r>
    </w:p>
    <w:p w:rsidR="000D6A3E" w:rsidRPr="00BF21F7" w:rsidRDefault="000D6A3E" w:rsidP="000D6A3E">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Marketing standards which are regularly measured and tracked</w:t>
      </w:r>
    </w:p>
    <w:p w:rsidR="000D6A3E" w:rsidRPr="00BF21F7" w:rsidRDefault="000D6A3E" w:rsidP="000D6A3E">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Real-time consumer feedback</w:t>
      </w:r>
    </w:p>
    <w:p w:rsidR="000D6A3E" w:rsidRPr="00BF21F7" w:rsidRDefault="000D6A3E" w:rsidP="00EB412B">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Standard consumer disclosures on a DVD</w:t>
      </w:r>
    </w:p>
    <w:p w:rsidR="00B9348C" w:rsidRPr="00BF21F7" w:rsidRDefault="00B9348C" w:rsidP="00EB412B">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In-depth Short Sale training</w:t>
      </w:r>
    </w:p>
    <w:p w:rsidR="00B9348C" w:rsidRPr="00BF21F7" w:rsidRDefault="00B9348C" w:rsidP="00EB412B">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Internal project management</w:t>
      </w:r>
    </w:p>
    <w:p w:rsidR="00B9348C" w:rsidRPr="00BF21F7" w:rsidRDefault="00B9348C" w:rsidP="00EB412B">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 xml:space="preserve">Accountability to performance standards </w:t>
      </w:r>
    </w:p>
    <w:p w:rsidR="00B9348C" w:rsidRPr="00BF21F7" w:rsidRDefault="000D6A3E" w:rsidP="000D6A3E">
      <w:pPr>
        <w:pStyle w:val="ListParagraph"/>
        <w:numPr>
          <w:ilvl w:val="0"/>
          <w:numId w:val="17"/>
        </w:numPr>
        <w:tabs>
          <w:tab w:val="left" w:pos="810"/>
        </w:tabs>
        <w:spacing w:before="240"/>
        <w:rPr>
          <w:rFonts w:ascii="Arial" w:hAnsi="Arial" w:cs="Arial"/>
          <w:sz w:val="22"/>
          <w:szCs w:val="22"/>
        </w:rPr>
      </w:pPr>
      <w:r w:rsidRPr="00BF21F7">
        <w:rPr>
          <w:rFonts w:ascii="Arial" w:hAnsi="Arial" w:cs="Arial"/>
          <w:sz w:val="22"/>
          <w:szCs w:val="22"/>
        </w:rPr>
        <w:t xml:space="preserve">Scalability to large numbers of transactions </w:t>
      </w:r>
      <w:r w:rsidRPr="00BF21F7">
        <w:rPr>
          <w:rFonts w:ascii="Arial" w:hAnsi="Arial" w:cs="Arial"/>
          <w:sz w:val="22"/>
          <w:szCs w:val="22"/>
        </w:rPr>
        <w:br/>
      </w:r>
      <w:r w:rsidR="00B9348C" w:rsidRPr="00BF21F7">
        <w:rPr>
          <w:rFonts w:ascii="Arial" w:hAnsi="Arial" w:cs="Arial"/>
          <w:sz w:val="22"/>
          <w:szCs w:val="22"/>
        </w:rPr>
        <w:t>With over 20,000 agents in these firms</w:t>
      </w:r>
      <w:r w:rsidRPr="00BF21F7">
        <w:rPr>
          <w:rFonts w:ascii="Arial" w:hAnsi="Arial" w:cs="Arial"/>
          <w:sz w:val="22"/>
          <w:szCs w:val="22"/>
        </w:rPr>
        <w:t xml:space="preserve"> (see below for list)</w:t>
      </w:r>
      <w:r w:rsidR="00B9348C" w:rsidRPr="00BF21F7">
        <w:rPr>
          <w:rFonts w:ascii="Arial" w:hAnsi="Arial" w:cs="Arial"/>
          <w:sz w:val="22"/>
          <w:szCs w:val="22"/>
        </w:rPr>
        <w:t xml:space="preserve"> QDS can offer scalable, national service to meet any demand. Both the listing and the buyer-agent specialist are managed to see that issues with consumers are properly remediated that transactions are properly handled and that the needs of the bank are being addressed.</w:t>
      </w:r>
    </w:p>
    <w:p w:rsidR="00B9348C" w:rsidRPr="00BF21F7" w:rsidRDefault="00B9348C" w:rsidP="000D6A3E">
      <w:pPr>
        <w:tabs>
          <w:tab w:val="left" w:pos="810"/>
        </w:tabs>
        <w:spacing w:before="120"/>
        <w:ind w:left="1170"/>
        <w:rPr>
          <w:rFonts w:ascii="Arial" w:hAnsi="Arial" w:cs="Arial"/>
          <w:sz w:val="22"/>
          <w:szCs w:val="22"/>
        </w:rPr>
      </w:pPr>
      <w:r w:rsidRPr="00BF21F7">
        <w:rPr>
          <w:rFonts w:ascii="Arial" w:hAnsi="Arial" w:cs="Arial"/>
          <w:sz w:val="22"/>
          <w:szCs w:val="22"/>
        </w:rPr>
        <w:t>At the solicitation stage, it has been demonstrated that having a well-trained Realtor working with the borrower immediately after initial contact increases the conversion by a multiple of 6 to 8.  So the cost-to-value of the outreach program becomes very cost effective.</w:t>
      </w:r>
    </w:p>
    <w:p w:rsidR="00B9348C" w:rsidRPr="00BF21F7" w:rsidRDefault="000D6A3E" w:rsidP="000D6A3E">
      <w:pPr>
        <w:pStyle w:val="ListParagraph"/>
        <w:numPr>
          <w:ilvl w:val="0"/>
          <w:numId w:val="17"/>
        </w:numPr>
        <w:tabs>
          <w:tab w:val="left" w:pos="810"/>
        </w:tabs>
        <w:spacing w:before="120"/>
        <w:rPr>
          <w:rFonts w:ascii="Arial" w:hAnsi="Arial" w:cs="Arial"/>
          <w:sz w:val="22"/>
          <w:szCs w:val="22"/>
        </w:rPr>
      </w:pPr>
      <w:r w:rsidRPr="00BF21F7">
        <w:rPr>
          <w:rFonts w:ascii="Arial" w:hAnsi="Arial" w:cs="Arial"/>
          <w:sz w:val="22"/>
          <w:szCs w:val="22"/>
        </w:rPr>
        <w:t xml:space="preserve">Marketing standards </w:t>
      </w:r>
      <w:r w:rsidRPr="00BF21F7">
        <w:rPr>
          <w:rFonts w:ascii="Arial" w:hAnsi="Arial" w:cs="Arial"/>
          <w:sz w:val="22"/>
          <w:szCs w:val="22"/>
        </w:rPr>
        <w:br/>
      </w:r>
      <w:r w:rsidR="00B9348C" w:rsidRPr="00BF21F7">
        <w:rPr>
          <w:rFonts w:ascii="Arial" w:hAnsi="Arial" w:cs="Arial"/>
          <w:sz w:val="22"/>
          <w:szCs w:val="22"/>
        </w:rPr>
        <w:t xml:space="preserve">Our statistics </w:t>
      </w:r>
      <w:r w:rsidR="008F3FCB" w:rsidRPr="00BF21F7">
        <w:rPr>
          <w:rFonts w:ascii="Arial" w:hAnsi="Arial" w:cs="Arial"/>
          <w:sz w:val="22"/>
          <w:szCs w:val="22"/>
        </w:rPr>
        <w:t>for the Realtor consortium show</w:t>
      </w:r>
      <w:r w:rsidR="00B9348C" w:rsidRPr="00BF21F7">
        <w:rPr>
          <w:rFonts w:ascii="Arial" w:hAnsi="Arial" w:cs="Arial"/>
          <w:sz w:val="22"/>
          <w:szCs w:val="22"/>
        </w:rPr>
        <w:t xml:space="preserve"> that by applying retail-marketing standards to distressed properties causes our listings to get to contract far sooner than the general Realtor population can produce and at higher prices.</w:t>
      </w:r>
    </w:p>
    <w:p w:rsidR="000D6A3E" w:rsidRPr="00BF21F7" w:rsidRDefault="000D6A3E" w:rsidP="000D6A3E">
      <w:pPr>
        <w:tabs>
          <w:tab w:val="left" w:pos="810"/>
        </w:tabs>
        <w:spacing w:before="120"/>
        <w:ind w:left="1170"/>
        <w:rPr>
          <w:rFonts w:ascii="Arial" w:hAnsi="Arial" w:cs="Arial"/>
          <w:sz w:val="22"/>
          <w:szCs w:val="22"/>
        </w:rPr>
      </w:pPr>
      <w:r w:rsidRPr="00BF21F7">
        <w:rPr>
          <w:rFonts w:ascii="Arial" w:hAnsi="Arial" w:cs="Arial"/>
          <w:sz w:val="22"/>
          <w:szCs w:val="22"/>
        </w:rPr>
        <w:t xml:space="preserve">One source of profit loss for the lender occurs when the listing agent creates a low expectation for fair market value, inducing the lender to accept much less.  The listing agent routinely tells callers that the property is under contract or keeps it off the market, off the MLS.  The agent then sells it to an insider-investor and collects commission on the whole thing.  The difference in price of $50,000 to the </w:t>
      </w:r>
      <w:r w:rsidR="00454792" w:rsidRPr="00BF21F7">
        <w:rPr>
          <w:rFonts w:ascii="Arial" w:hAnsi="Arial" w:cs="Arial"/>
          <w:sz w:val="22"/>
          <w:szCs w:val="22"/>
        </w:rPr>
        <w:t>R</w:t>
      </w:r>
      <w:r w:rsidRPr="00BF21F7">
        <w:rPr>
          <w:rFonts w:ascii="Arial" w:hAnsi="Arial" w:cs="Arial"/>
          <w:sz w:val="22"/>
          <w:szCs w:val="22"/>
        </w:rPr>
        <w:t>ealt</w:t>
      </w:r>
      <w:r w:rsidR="00454792" w:rsidRPr="00BF21F7">
        <w:rPr>
          <w:rFonts w:ascii="Arial" w:hAnsi="Arial" w:cs="Arial"/>
          <w:sz w:val="22"/>
          <w:szCs w:val="22"/>
        </w:rPr>
        <w:t>or is minimal (3</w:t>
      </w:r>
      <w:r w:rsidRPr="00BF21F7">
        <w:rPr>
          <w:rFonts w:ascii="Arial" w:hAnsi="Arial" w:cs="Arial"/>
          <w:sz w:val="22"/>
          <w:szCs w:val="22"/>
        </w:rPr>
        <w:t>% of $50,000 is $</w:t>
      </w:r>
      <w:r w:rsidR="00454792" w:rsidRPr="00BF21F7">
        <w:rPr>
          <w:rFonts w:ascii="Arial" w:hAnsi="Arial" w:cs="Arial"/>
          <w:sz w:val="22"/>
          <w:szCs w:val="22"/>
        </w:rPr>
        <w:t>1,500, which is more than compensated by the 3% of the entire price from the buyer side</w:t>
      </w:r>
      <w:r w:rsidRPr="00BF21F7">
        <w:rPr>
          <w:rFonts w:ascii="Arial" w:hAnsi="Arial" w:cs="Arial"/>
          <w:sz w:val="22"/>
          <w:szCs w:val="22"/>
        </w:rPr>
        <w:t>) but the difference to the lender is $50,000.</w:t>
      </w:r>
    </w:p>
    <w:p w:rsidR="000D6A3E" w:rsidRPr="00BF21F7" w:rsidRDefault="000D6A3E" w:rsidP="000D6A3E">
      <w:pPr>
        <w:tabs>
          <w:tab w:val="left" w:pos="810"/>
        </w:tabs>
        <w:spacing w:before="120"/>
        <w:ind w:left="1170"/>
        <w:rPr>
          <w:rFonts w:ascii="Arial" w:hAnsi="Arial" w:cs="Arial"/>
          <w:sz w:val="22"/>
          <w:szCs w:val="22"/>
        </w:rPr>
      </w:pPr>
      <w:r w:rsidRPr="00BF21F7">
        <w:rPr>
          <w:rFonts w:ascii="Arial" w:hAnsi="Arial" w:cs="Arial"/>
          <w:sz w:val="22"/>
          <w:szCs w:val="22"/>
        </w:rPr>
        <w:t xml:space="preserve">Our Realtors market the property through normal channels like the MLS, advertising, </w:t>
      </w:r>
      <w:r w:rsidR="00F45E32" w:rsidRPr="00BF21F7">
        <w:rPr>
          <w:rFonts w:ascii="Arial" w:hAnsi="Arial" w:cs="Arial"/>
          <w:sz w:val="22"/>
          <w:szCs w:val="22"/>
        </w:rPr>
        <w:t xml:space="preserve">open houses, </w:t>
      </w:r>
      <w:r w:rsidRPr="00BF21F7">
        <w:rPr>
          <w:rFonts w:ascii="Arial" w:hAnsi="Arial" w:cs="Arial"/>
          <w:sz w:val="22"/>
          <w:szCs w:val="22"/>
        </w:rPr>
        <w:t>websites, etc.  The property is treated as a “retail” property.</w:t>
      </w:r>
      <w:r w:rsidR="00454792" w:rsidRPr="00BF21F7">
        <w:rPr>
          <w:rFonts w:ascii="Arial" w:hAnsi="Arial" w:cs="Arial"/>
          <w:sz w:val="22"/>
          <w:szCs w:val="22"/>
        </w:rPr>
        <w:t xml:space="preserve">  They have a commitment to answer every inquiry from any other broker or buyer-prospect within the hour.  They are not allowed to have their own offers on the property without the supervision of their project manager.</w:t>
      </w:r>
    </w:p>
    <w:p w:rsidR="000D6A3E" w:rsidRPr="00BF21F7" w:rsidRDefault="000D6A3E" w:rsidP="000D6A3E">
      <w:pPr>
        <w:tabs>
          <w:tab w:val="left" w:pos="810"/>
        </w:tabs>
        <w:spacing w:before="120"/>
        <w:ind w:left="1170"/>
        <w:rPr>
          <w:rFonts w:ascii="Arial" w:hAnsi="Arial" w:cs="Arial"/>
          <w:sz w:val="22"/>
          <w:szCs w:val="22"/>
        </w:rPr>
      </w:pPr>
      <w:r w:rsidRPr="00BF21F7">
        <w:rPr>
          <w:rFonts w:ascii="Arial" w:hAnsi="Arial" w:cs="Arial"/>
          <w:sz w:val="22"/>
          <w:szCs w:val="22"/>
        </w:rPr>
        <w:t>Additio</w:t>
      </w:r>
      <w:r w:rsidR="008F3FCB" w:rsidRPr="00BF21F7">
        <w:rPr>
          <w:rFonts w:ascii="Arial" w:hAnsi="Arial" w:cs="Arial"/>
          <w:sz w:val="22"/>
          <w:szCs w:val="22"/>
        </w:rPr>
        <w:t>nally we put an 800# on the for-</w:t>
      </w:r>
      <w:r w:rsidRPr="00BF21F7">
        <w:rPr>
          <w:rFonts w:ascii="Arial" w:hAnsi="Arial" w:cs="Arial"/>
          <w:sz w:val="22"/>
          <w:szCs w:val="22"/>
        </w:rPr>
        <w:t xml:space="preserve">sale sign </w:t>
      </w:r>
      <w:r w:rsidR="008F3FCB" w:rsidRPr="00BF21F7">
        <w:rPr>
          <w:rFonts w:ascii="Arial" w:hAnsi="Arial" w:cs="Arial"/>
          <w:sz w:val="22"/>
          <w:szCs w:val="22"/>
        </w:rPr>
        <w:t xml:space="preserve">and have a separate team of buyer-side only agents who are assigned the calls from the signs.  In that </w:t>
      </w:r>
      <w:r w:rsidR="008F3FCB" w:rsidRPr="00BF21F7">
        <w:rPr>
          <w:rFonts w:ascii="Arial" w:hAnsi="Arial" w:cs="Arial"/>
          <w:sz w:val="22"/>
          <w:szCs w:val="22"/>
        </w:rPr>
        <w:lastRenderedPageBreak/>
        <w:t>way we are assured that any caller who is interested has a fair chance to make a bid on the property.  We carefully track each call.</w:t>
      </w:r>
    </w:p>
    <w:p w:rsidR="008F3FCB" w:rsidRPr="00BF21F7" w:rsidRDefault="008F3FCB" w:rsidP="008F3FCB">
      <w:pPr>
        <w:pStyle w:val="ListParagraph"/>
        <w:numPr>
          <w:ilvl w:val="0"/>
          <w:numId w:val="17"/>
        </w:numPr>
        <w:tabs>
          <w:tab w:val="left" w:pos="810"/>
        </w:tabs>
        <w:spacing w:before="120"/>
        <w:rPr>
          <w:rFonts w:ascii="Arial" w:hAnsi="Arial" w:cs="Arial"/>
          <w:sz w:val="22"/>
          <w:szCs w:val="22"/>
        </w:rPr>
      </w:pPr>
      <w:r w:rsidRPr="00BF21F7">
        <w:rPr>
          <w:rFonts w:ascii="Arial" w:hAnsi="Arial" w:cs="Arial"/>
          <w:sz w:val="22"/>
          <w:szCs w:val="22"/>
        </w:rPr>
        <w:t>Real-time consumer feedback</w:t>
      </w:r>
      <w:r w:rsidRPr="00BF21F7">
        <w:rPr>
          <w:rFonts w:ascii="Arial" w:hAnsi="Arial" w:cs="Arial"/>
          <w:sz w:val="22"/>
          <w:szCs w:val="22"/>
        </w:rPr>
        <w:br/>
        <w:t>When a property is listed, when it goes under contract and when it closes, we cause an automatic consumer feedback questionnaire to be sent to the borrower to collect information about the performance of the Realtor.  When there is any negative feedback, our Quality Assurance procedure is set in motion.  When an agent gets more than normal negatives we eliminate them from the team.</w:t>
      </w:r>
    </w:p>
    <w:p w:rsidR="008F3FCB" w:rsidRPr="00BF21F7" w:rsidRDefault="008F3FCB" w:rsidP="008F3FCB">
      <w:pPr>
        <w:pStyle w:val="ListParagraph"/>
        <w:numPr>
          <w:ilvl w:val="0"/>
          <w:numId w:val="17"/>
        </w:numPr>
        <w:tabs>
          <w:tab w:val="left" w:pos="810"/>
        </w:tabs>
        <w:spacing w:before="120"/>
        <w:rPr>
          <w:rFonts w:ascii="Arial" w:hAnsi="Arial" w:cs="Arial"/>
          <w:sz w:val="22"/>
          <w:szCs w:val="22"/>
        </w:rPr>
      </w:pPr>
      <w:r w:rsidRPr="00BF21F7">
        <w:rPr>
          <w:rFonts w:ascii="Arial" w:hAnsi="Arial" w:cs="Arial"/>
          <w:sz w:val="22"/>
          <w:szCs w:val="22"/>
        </w:rPr>
        <w:t>Standard consumer disclosures on a DVD</w:t>
      </w:r>
      <w:r w:rsidRPr="00BF21F7">
        <w:rPr>
          <w:rFonts w:ascii="Arial" w:hAnsi="Arial" w:cs="Arial"/>
          <w:sz w:val="22"/>
          <w:szCs w:val="22"/>
        </w:rPr>
        <w:br/>
        <w:t>The threat of lawsuits as a result of improper disclosure is real and imminent.  The probability that any two Realtors will disclose the alternatives available to the borrower in a consistent way is very low.</w:t>
      </w:r>
    </w:p>
    <w:p w:rsidR="008F3FCB" w:rsidRPr="00BF21F7" w:rsidRDefault="008F3FCB" w:rsidP="008F3FCB">
      <w:pPr>
        <w:tabs>
          <w:tab w:val="left" w:pos="810"/>
        </w:tabs>
        <w:spacing w:before="120"/>
        <w:ind w:left="1170"/>
        <w:rPr>
          <w:rFonts w:ascii="Arial" w:hAnsi="Arial" w:cs="Arial"/>
          <w:sz w:val="22"/>
          <w:szCs w:val="22"/>
        </w:rPr>
      </w:pPr>
      <w:r w:rsidRPr="00BF21F7">
        <w:rPr>
          <w:rFonts w:ascii="Arial" w:hAnsi="Arial" w:cs="Arial"/>
          <w:sz w:val="22"/>
          <w:szCs w:val="22"/>
        </w:rPr>
        <w:t>We eliminate the problem by having them show the borrower a disclosure DVD with all the information they need to make an informed decision.  The borrower is then asked to acknowledge receipt of the DVD.  Again when the questionnaire is sent to them, one of the questions is, “Did your Realtor give you the DVD?”  The DVD will be altered to conform to Bank of America’s needs and procedures.</w:t>
      </w:r>
    </w:p>
    <w:p w:rsidR="00B9348C" w:rsidRPr="00BF21F7" w:rsidRDefault="00F45E32" w:rsidP="00F45E32">
      <w:pPr>
        <w:pStyle w:val="ListParagraph"/>
        <w:numPr>
          <w:ilvl w:val="0"/>
          <w:numId w:val="17"/>
        </w:numPr>
        <w:tabs>
          <w:tab w:val="left" w:pos="810"/>
        </w:tabs>
        <w:spacing w:before="120"/>
        <w:rPr>
          <w:rFonts w:ascii="Arial" w:hAnsi="Arial" w:cs="Arial"/>
          <w:sz w:val="22"/>
          <w:szCs w:val="22"/>
        </w:rPr>
      </w:pPr>
      <w:r w:rsidRPr="00BF21F7">
        <w:rPr>
          <w:rFonts w:ascii="Arial" w:hAnsi="Arial" w:cs="Arial"/>
          <w:sz w:val="22"/>
          <w:szCs w:val="22"/>
        </w:rPr>
        <w:t>In-depth Short Sale training</w:t>
      </w:r>
      <w:r w:rsidR="00B9348C" w:rsidRPr="00BF21F7">
        <w:rPr>
          <w:rFonts w:ascii="Arial" w:hAnsi="Arial" w:cs="Arial"/>
          <w:sz w:val="22"/>
          <w:szCs w:val="22"/>
        </w:rPr>
        <w:t xml:space="preserve">  </w:t>
      </w:r>
      <w:r w:rsidRPr="00BF21F7">
        <w:rPr>
          <w:rFonts w:ascii="Arial" w:hAnsi="Arial" w:cs="Arial"/>
          <w:sz w:val="22"/>
          <w:szCs w:val="22"/>
        </w:rPr>
        <w:br/>
        <w:t>Ray Mathoda, former Chief Admin Officer of IndyMac bank, a member of our board, an advisor to the Treasury on HAFA and owner of a premier training company will train every Realtor who is a part of the team.  Their training program is more than how to market real estate services to distressed sellers</w:t>
      </w:r>
    </w:p>
    <w:p w:rsidR="00F45E32" w:rsidRPr="00BF21F7" w:rsidRDefault="00F45E32" w:rsidP="00F45E32">
      <w:pPr>
        <w:tabs>
          <w:tab w:val="left" w:pos="810"/>
        </w:tabs>
        <w:spacing w:before="240"/>
        <w:ind w:left="1166"/>
        <w:rPr>
          <w:rFonts w:ascii="Arial" w:hAnsi="Arial" w:cs="Arial"/>
          <w:sz w:val="22"/>
          <w:szCs w:val="22"/>
        </w:rPr>
      </w:pPr>
      <w:r w:rsidRPr="00BF21F7">
        <w:rPr>
          <w:rFonts w:ascii="Arial" w:hAnsi="Arial" w:cs="Arial"/>
          <w:sz w:val="22"/>
          <w:szCs w:val="22"/>
        </w:rPr>
        <w:t xml:space="preserve">Where most of what passes for Short Sale training covers how to market real estate services to distressed homeowners, this training covers the HAFA program, the traditional program and the Deed in Lieu.  Team members are each trained then certified by Mathoda’s company, </w:t>
      </w:r>
      <w:r w:rsidRPr="00BF21F7">
        <w:rPr>
          <w:rFonts w:ascii="Arial" w:hAnsi="Arial" w:cs="Arial"/>
          <w:i/>
          <w:sz w:val="22"/>
          <w:szCs w:val="22"/>
        </w:rPr>
        <w:t>Foreclosure Alternatives USA</w:t>
      </w:r>
      <w:r w:rsidRPr="00BF21F7">
        <w:rPr>
          <w:rFonts w:ascii="Arial" w:hAnsi="Arial" w:cs="Arial"/>
          <w:sz w:val="22"/>
          <w:szCs w:val="22"/>
        </w:rPr>
        <w:t xml:space="preserve"> before they are candidates with us. This provides for the agents to be trained to the bank’s standards and procedures and to be managed to that banks level of performance requirements.</w:t>
      </w:r>
    </w:p>
    <w:p w:rsidR="00F45E32" w:rsidRPr="00BF21F7" w:rsidRDefault="00F45E32" w:rsidP="00F45E32">
      <w:pPr>
        <w:pStyle w:val="ListParagraph"/>
        <w:numPr>
          <w:ilvl w:val="0"/>
          <w:numId w:val="17"/>
        </w:numPr>
        <w:tabs>
          <w:tab w:val="left" w:pos="810"/>
        </w:tabs>
        <w:spacing w:before="120"/>
        <w:rPr>
          <w:rFonts w:ascii="Arial" w:hAnsi="Arial" w:cs="Arial"/>
          <w:sz w:val="22"/>
          <w:szCs w:val="22"/>
        </w:rPr>
      </w:pPr>
      <w:r w:rsidRPr="00BF21F7">
        <w:rPr>
          <w:rFonts w:ascii="Arial" w:hAnsi="Arial" w:cs="Arial"/>
          <w:sz w:val="22"/>
          <w:szCs w:val="22"/>
        </w:rPr>
        <w:t>Internal project management</w:t>
      </w:r>
      <w:r w:rsidRPr="00BF21F7">
        <w:rPr>
          <w:rFonts w:ascii="Arial" w:hAnsi="Arial" w:cs="Arial"/>
          <w:sz w:val="22"/>
          <w:szCs w:val="22"/>
        </w:rPr>
        <w:br/>
        <w:t xml:space="preserve">Within each consortium firm there is a project manager assigned to this project.  Their job is to oversee, train, report and hold the team accountable to our standards.  They have the authority to take Realtors off the team when they do not perform.  The project manager is accountable and reports directly to QDS. </w:t>
      </w:r>
    </w:p>
    <w:p w:rsidR="00F45E32" w:rsidRPr="00BF21F7" w:rsidRDefault="00F45E32" w:rsidP="00F45E32">
      <w:pPr>
        <w:tabs>
          <w:tab w:val="left" w:pos="810"/>
        </w:tabs>
        <w:spacing w:before="120"/>
        <w:ind w:left="1170"/>
        <w:rPr>
          <w:rFonts w:ascii="Arial" w:hAnsi="Arial" w:cs="Arial"/>
          <w:sz w:val="22"/>
          <w:szCs w:val="22"/>
        </w:rPr>
      </w:pPr>
      <w:r w:rsidRPr="00BF21F7">
        <w:rPr>
          <w:rFonts w:ascii="Arial" w:hAnsi="Arial" w:cs="Arial"/>
          <w:sz w:val="22"/>
          <w:szCs w:val="22"/>
        </w:rPr>
        <w:t>Assigning a real-world Fair Market Value to a property needs to be done with care and competence.  Too high and it won’t sell; too low and the Realtor’s insiders are the only ones who win.  Our Realtors are double checked by the project manager to assure accuracy.</w:t>
      </w:r>
    </w:p>
    <w:p w:rsidR="00F45E32" w:rsidRPr="00BF21F7" w:rsidRDefault="00F45E32" w:rsidP="00F45E32">
      <w:pPr>
        <w:pStyle w:val="ListParagraph"/>
        <w:numPr>
          <w:ilvl w:val="0"/>
          <w:numId w:val="17"/>
        </w:numPr>
        <w:tabs>
          <w:tab w:val="left" w:pos="810"/>
        </w:tabs>
        <w:spacing w:before="120"/>
        <w:rPr>
          <w:rFonts w:ascii="Arial" w:hAnsi="Arial" w:cs="Arial"/>
          <w:sz w:val="22"/>
          <w:szCs w:val="22"/>
        </w:rPr>
      </w:pPr>
      <w:r w:rsidRPr="00BF21F7">
        <w:rPr>
          <w:rFonts w:ascii="Arial" w:hAnsi="Arial" w:cs="Arial"/>
          <w:sz w:val="22"/>
          <w:szCs w:val="22"/>
        </w:rPr>
        <w:t xml:space="preserve">Accountability to performance standards </w:t>
      </w:r>
      <w:r w:rsidRPr="00BF21F7">
        <w:rPr>
          <w:rFonts w:ascii="Arial" w:hAnsi="Arial" w:cs="Arial"/>
          <w:sz w:val="22"/>
          <w:szCs w:val="22"/>
        </w:rPr>
        <w:br/>
        <w:t xml:space="preserve">The residential real estate industry provides marginal oversight and little accountability.  </w:t>
      </w:r>
      <w:r w:rsidR="00454792" w:rsidRPr="00BF21F7">
        <w:rPr>
          <w:rFonts w:ascii="Arial" w:hAnsi="Arial" w:cs="Arial"/>
          <w:sz w:val="22"/>
          <w:szCs w:val="22"/>
        </w:rPr>
        <w:t xml:space="preserve">It is the central issue that creates the dysfunctional default </w:t>
      </w:r>
      <w:r w:rsidR="00454792" w:rsidRPr="00BF21F7">
        <w:rPr>
          <w:rFonts w:ascii="Arial" w:hAnsi="Arial" w:cs="Arial"/>
          <w:sz w:val="22"/>
          <w:szCs w:val="22"/>
        </w:rPr>
        <w:lastRenderedPageBreak/>
        <w:t xml:space="preserve">services system in place today.  </w:t>
      </w:r>
      <w:r w:rsidRPr="00BF21F7">
        <w:rPr>
          <w:rFonts w:ascii="Arial" w:hAnsi="Arial" w:cs="Arial"/>
          <w:sz w:val="22"/>
          <w:szCs w:val="22"/>
        </w:rPr>
        <w:t>We recognized early that this would need to be re-organized and a standard management and accountability system put in place.</w:t>
      </w:r>
    </w:p>
    <w:p w:rsidR="00F45E32" w:rsidRPr="00BF21F7" w:rsidRDefault="00F45E32" w:rsidP="00F45E32">
      <w:pPr>
        <w:tabs>
          <w:tab w:val="left" w:pos="810"/>
        </w:tabs>
        <w:spacing w:before="120"/>
        <w:ind w:left="1170"/>
        <w:rPr>
          <w:rFonts w:ascii="Arial" w:hAnsi="Arial" w:cs="Arial"/>
          <w:sz w:val="22"/>
          <w:szCs w:val="22"/>
        </w:rPr>
      </w:pPr>
      <w:r w:rsidRPr="00BF21F7">
        <w:rPr>
          <w:rFonts w:ascii="Arial" w:hAnsi="Arial" w:cs="Arial"/>
          <w:sz w:val="22"/>
          <w:szCs w:val="22"/>
        </w:rPr>
        <w:t xml:space="preserve">All of the training available has marginal value when it is not accompanied by strict accountability to standards.  Without accountability the </w:t>
      </w:r>
      <w:r w:rsidR="00454792" w:rsidRPr="00BF21F7">
        <w:rPr>
          <w:rFonts w:ascii="Arial" w:hAnsi="Arial" w:cs="Arial"/>
          <w:sz w:val="22"/>
          <w:szCs w:val="22"/>
        </w:rPr>
        <w:t xml:space="preserve">“trained” </w:t>
      </w:r>
      <w:r w:rsidRPr="00BF21F7">
        <w:rPr>
          <w:rFonts w:ascii="Arial" w:hAnsi="Arial" w:cs="Arial"/>
          <w:sz w:val="22"/>
          <w:szCs w:val="22"/>
        </w:rPr>
        <w:t xml:space="preserve">Realtor moves to </w:t>
      </w:r>
      <w:r w:rsidR="00454792" w:rsidRPr="00BF21F7">
        <w:rPr>
          <w:rFonts w:ascii="Arial" w:hAnsi="Arial" w:cs="Arial"/>
          <w:sz w:val="22"/>
          <w:szCs w:val="22"/>
        </w:rPr>
        <w:t xml:space="preserve">use </w:t>
      </w:r>
      <w:r w:rsidRPr="00BF21F7">
        <w:rPr>
          <w:rFonts w:ascii="Arial" w:hAnsi="Arial" w:cs="Arial"/>
          <w:sz w:val="22"/>
          <w:szCs w:val="22"/>
        </w:rPr>
        <w:t>the least demanding methods rather than the most effective for Bank of America.</w:t>
      </w:r>
    </w:p>
    <w:p w:rsidR="00B9348C" w:rsidRPr="00BF21F7" w:rsidRDefault="00B9348C" w:rsidP="00F45E32">
      <w:pPr>
        <w:tabs>
          <w:tab w:val="left" w:pos="810"/>
        </w:tabs>
        <w:spacing w:after="120"/>
        <w:ind w:left="450"/>
        <w:rPr>
          <w:rFonts w:ascii="Arial" w:hAnsi="Arial" w:cs="Arial"/>
          <w:sz w:val="22"/>
          <w:szCs w:val="22"/>
        </w:rPr>
      </w:pPr>
      <w:r w:rsidRPr="00BF21F7">
        <w:rPr>
          <w:rFonts w:ascii="Arial" w:hAnsi="Arial" w:cs="Arial"/>
          <w:sz w:val="22"/>
          <w:szCs w:val="22"/>
        </w:rPr>
        <w:t>Our firms are chosen because they each meet our demanding standards:</w:t>
      </w:r>
    </w:p>
    <w:p w:rsidR="00B9348C" w:rsidRPr="00BF21F7" w:rsidRDefault="00B9348C" w:rsidP="00EB412B">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Financial stability to support the marketing of a large inventory</w:t>
      </w:r>
    </w:p>
    <w:p w:rsidR="00B9348C" w:rsidRPr="00BF21F7" w:rsidRDefault="00B9348C" w:rsidP="00EB412B">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Infrastructure including a project manager and administrative support</w:t>
      </w:r>
    </w:p>
    <w:p w:rsidR="00B9348C" w:rsidRPr="00BF21F7" w:rsidRDefault="00B9348C" w:rsidP="00EB412B">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Mature and seasoned agent population that can meet the demand</w:t>
      </w:r>
    </w:p>
    <w:p w:rsidR="00B9348C" w:rsidRPr="00BF21F7" w:rsidRDefault="00B9348C" w:rsidP="00EB412B">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Willingness to train and create accountability to our specific standards</w:t>
      </w:r>
    </w:p>
    <w:p w:rsidR="00B9348C" w:rsidRPr="00BF21F7" w:rsidRDefault="00B9348C" w:rsidP="00EB412B">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Agreement to oversight and supervision by QDS</w:t>
      </w:r>
    </w:p>
    <w:p w:rsidR="00B9348C" w:rsidRPr="00BF21F7" w:rsidRDefault="00EB412B" w:rsidP="00EB412B">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 xml:space="preserve">Record of </w:t>
      </w:r>
      <w:r w:rsidR="00B9348C" w:rsidRPr="00BF21F7">
        <w:rPr>
          <w:rFonts w:ascii="Arial" w:hAnsi="Arial" w:cs="Arial"/>
          <w:sz w:val="22"/>
          <w:szCs w:val="22"/>
        </w:rPr>
        <w:t>marketing and selling distressed properties at prices higher than the average distressed property agent</w:t>
      </w:r>
    </w:p>
    <w:p w:rsidR="00B9348C" w:rsidRPr="00BF21F7" w:rsidRDefault="00B9348C" w:rsidP="00EB412B">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Clear leaders in their markets</w:t>
      </w:r>
    </w:p>
    <w:p w:rsidR="00B9348C" w:rsidRPr="00BF21F7" w:rsidRDefault="00B9348C" w:rsidP="00EB412B">
      <w:pPr>
        <w:pStyle w:val="ListParagraph"/>
        <w:numPr>
          <w:ilvl w:val="0"/>
          <w:numId w:val="15"/>
        </w:numPr>
        <w:tabs>
          <w:tab w:val="left" w:pos="810"/>
        </w:tabs>
        <w:ind w:left="1170"/>
        <w:rPr>
          <w:rFonts w:ascii="Arial" w:hAnsi="Arial" w:cs="Arial"/>
          <w:sz w:val="22"/>
          <w:szCs w:val="22"/>
        </w:rPr>
      </w:pPr>
      <w:r w:rsidRPr="00BF21F7">
        <w:rPr>
          <w:rFonts w:ascii="Arial" w:hAnsi="Arial" w:cs="Arial"/>
          <w:sz w:val="22"/>
          <w:szCs w:val="22"/>
        </w:rPr>
        <w:t>Commitment to this project</w:t>
      </w:r>
      <w:bookmarkStart w:id="0" w:name="_GoBack"/>
      <w:bookmarkEnd w:id="0"/>
    </w:p>
    <w:p w:rsidR="00454792" w:rsidRDefault="00454792" w:rsidP="00EB412B">
      <w:pPr>
        <w:tabs>
          <w:tab w:val="left" w:pos="810"/>
        </w:tabs>
        <w:spacing w:before="240" w:after="120"/>
        <w:ind w:left="450"/>
      </w:pPr>
    </w:p>
    <w:p w:rsidR="00B9348C" w:rsidRPr="00D916BE" w:rsidRDefault="00B9348C" w:rsidP="00EB412B">
      <w:pPr>
        <w:tabs>
          <w:tab w:val="left" w:pos="810"/>
        </w:tabs>
        <w:spacing w:before="240" w:after="120"/>
        <w:ind w:left="450"/>
      </w:pPr>
      <w:r w:rsidRPr="00D916BE">
        <w:t>The companies are:</w:t>
      </w:r>
    </w:p>
    <w:tbl>
      <w:tblPr>
        <w:tblW w:w="98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4"/>
        <w:gridCol w:w="1530"/>
        <w:gridCol w:w="1080"/>
        <w:gridCol w:w="810"/>
        <w:gridCol w:w="810"/>
        <w:gridCol w:w="1170"/>
        <w:gridCol w:w="990"/>
        <w:gridCol w:w="1710"/>
      </w:tblGrid>
      <w:tr w:rsidR="00B9348C" w:rsidRPr="00FE6AB4" w:rsidTr="00FE6AB4">
        <w:trPr>
          <w:cantSplit/>
        </w:trPr>
        <w:tc>
          <w:tcPr>
            <w:tcW w:w="1744" w:type="dxa"/>
            <w:shd w:val="clear" w:color="auto" w:fill="5283B0"/>
            <w:vAlign w:val="center"/>
          </w:tcPr>
          <w:p w:rsidR="00B9348C" w:rsidRPr="00FE6AB4" w:rsidRDefault="00B9348C" w:rsidP="00FE6AB4">
            <w:pPr>
              <w:spacing w:after="0"/>
              <w:rPr>
                <w:rFonts w:asciiTheme="minorHAnsi" w:hAnsiTheme="minorHAnsi"/>
                <w:color w:val="FFFFFF" w:themeColor="background1"/>
              </w:rPr>
            </w:pPr>
            <w:r w:rsidRPr="00FE6AB4">
              <w:rPr>
                <w:rFonts w:asciiTheme="minorHAnsi" w:hAnsiTheme="minorHAnsi"/>
                <w:color w:val="FFFFFF" w:themeColor="background1"/>
              </w:rPr>
              <w:t>Company</w:t>
            </w:r>
          </w:p>
        </w:tc>
        <w:tc>
          <w:tcPr>
            <w:tcW w:w="1530" w:type="dxa"/>
            <w:shd w:val="clear" w:color="auto" w:fill="5283B0"/>
            <w:vAlign w:val="center"/>
          </w:tcPr>
          <w:p w:rsidR="00B9348C" w:rsidRPr="00FE6AB4" w:rsidRDefault="00B9348C" w:rsidP="00FE6AB4">
            <w:pPr>
              <w:spacing w:after="0"/>
              <w:rPr>
                <w:rFonts w:asciiTheme="minorHAnsi" w:hAnsiTheme="minorHAnsi"/>
                <w:color w:val="FFFFFF" w:themeColor="background1"/>
              </w:rPr>
            </w:pPr>
            <w:r w:rsidRPr="00FE6AB4">
              <w:rPr>
                <w:rFonts w:asciiTheme="minorHAnsi" w:hAnsiTheme="minorHAnsi"/>
                <w:color w:val="FFFFFF" w:themeColor="background1"/>
              </w:rPr>
              <w:t>Area covered</w:t>
            </w:r>
          </w:p>
        </w:tc>
        <w:tc>
          <w:tcPr>
            <w:tcW w:w="1080" w:type="dxa"/>
            <w:shd w:val="clear" w:color="auto" w:fill="5283B0"/>
            <w:vAlign w:val="center"/>
          </w:tcPr>
          <w:p w:rsidR="00B9348C" w:rsidRPr="00FE6AB4" w:rsidRDefault="00B9348C" w:rsidP="00FE6AB4">
            <w:pPr>
              <w:spacing w:after="0"/>
              <w:jc w:val="center"/>
              <w:rPr>
                <w:rFonts w:asciiTheme="minorHAnsi" w:hAnsiTheme="minorHAnsi"/>
                <w:color w:val="FFFFFF" w:themeColor="background1"/>
              </w:rPr>
            </w:pPr>
            <w:r w:rsidRPr="00FE6AB4">
              <w:rPr>
                <w:rFonts w:asciiTheme="minorHAnsi" w:hAnsiTheme="minorHAnsi"/>
                <w:color w:val="FFFFFF" w:themeColor="background1"/>
              </w:rPr>
              <w:t xml:space="preserve">Total </w:t>
            </w:r>
            <w:r w:rsidRPr="00FE6AB4">
              <w:rPr>
                <w:rFonts w:asciiTheme="minorHAnsi" w:hAnsiTheme="minorHAnsi"/>
                <w:color w:val="FFFFFF" w:themeColor="background1"/>
              </w:rPr>
              <w:br/>
              <w:t>Agents</w:t>
            </w:r>
          </w:p>
        </w:tc>
        <w:tc>
          <w:tcPr>
            <w:tcW w:w="810" w:type="dxa"/>
            <w:shd w:val="clear" w:color="auto" w:fill="5283B0"/>
            <w:vAlign w:val="center"/>
          </w:tcPr>
          <w:p w:rsidR="00B9348C" w:rsidRPr="00FE6AB4" w:rsidRDefault="00B9348C" w:rsidP="00FE6AB4">
            <w:pPr>
              <w:spacing w:after="0"/>
              <w:jc w:val="center"/>
              <w:rPr>
                <w:rFonts w:asciiTheme="minorHAnsi" w:hAnsiTheme="minorHAnsi"/>
                <w:color w:val="FFFFFF" w:themeColor="background1"/>
              </w:rPr>
            </w:pPr>
            <w:r w:rsidRPr="00FE6AB4">
              <w:rPr>
                <w:rFonts w:asciiTheme="minorHAnsi" w:hAnsiTheme="minorHAnsi"/>
                <w:color w:val="FFFFFF" w:themeColor="background1"/>
              </w:rPr>
              <w:t>Qualified</w:t>
            </w:r>
            <w:r w:rsidRPr="00FE6AB4">
              <w:rPr>
                <w:rFonts w:asciiTheme="minorHAnsi" w:hAnsiTheme="minorHAnsi"/>
                <w:color w:val="FFFFFF" w:themeColor="background1"/>
              </w:rPr>
              <w:br/>
              <w:t>LA†</w:t>
            </w:r>
          </w:p>
        </w:tc>
        <w:tc>
          <w:tcPr>
            <w:tcW w:w="810" w:type="dxa"/>
            <w:shd w:val="clear" w:color="auto" w:fill="5283B0"/>
            <w:vAlign w:val="center"/>
          </w:tcPr>
          <w:p w:rsidR="00B9348C" w:rsidRPr="00FE6AB4" w:rsidRDefault="00B9348C" w:rsidP="00FE6AB4">
            <w:pPr>
              <w:spacing w:after="0"/>
              <w:jc w:val="center"/>
              <w:rPr>
                <w:rFonts w:asciiTheme="minorHAnsi" w:hAnsiTheme="minorHAnsi"/>
                <w:color w:val="FFFFFF" w:themeColor="background1"/>
              </w:rPr>
            </w:pPr>
            <w:r w:rsidRPr="00FE6AB4">
              <w:rPr>
                <w:rFonts w:asciiTheme="minorHAnsi" w:hAnsiTheme="minorHAnsi"/>
                <w:color w:val="FFFFFF" w:themeColor="background1"/>
              </w:rPr>
              <w:t xml:space="preserve">Qualified </w:t>
            </w:r>
            <w:r w:rsidRPr="00FE6AB4">
              <w:rPr>
                <w:rFonts w:asciiTheme="minorHAnsi" w:hAnsiTheme="minorHAnsi"/>
                <w:color w:val="FFFFFF" w:themeColor="background1"/>
              </w:rPr>
              <w:br/>
              <w:t>SA‡</w:t>
            </w:r>
          </w:p>
        </w:tc>
        <w:tc>
          <w:tcPr>
            <w:tcW w:w="1170" w:type="dxa"/>
            <w:shd w:val="clear" w:color="auto" w:fill="5283B0"/>
            <w:vAlign w:val="center"/>
          </w:tcPr>
          <w:p w:rsidR="00B9348C" w:rsidRPr="00FE6AB4" w:rsidRDefault="00B9348C" w:rsidP="00FE6AB4">
            <w:pPr>
              <w:spacing w:after="0"/>
              <w:rPr>
                <w:rFonts w:asciiTheme="minorHAnsi" w:hAnsiTheme="minorHAnsi"/>
                <w:color w:val="FFFFFF" w:themeColor="background1"/>
              </w:rPr>
            </w:pPr>
            <w:r w:rsidRPr="00FE6AB4">
              <w:rPr>
                <w:rFonts w:asciiTheme="minorHAnsi" w:hAnsiTheme="minorHAnsi"/>
                <w:color w:val="FFFFFF" w:themeColor="background1"/>
              </w:rPr>
              <w:t xml:space="preserve">Potential </w:t>
            </w:r>
            <w:r w:rsidRPr="00FE6AB4">
              <w:rPr>
                <w:rFonts w:asciiTheme="minorHAnsi" w:hAnsiTheme="minorHAnsi"/>
                <w:color w:val="FFFFFF" w:themeColor="background1"/>
              </w:rPr>
              <w:br/>
              <w:t>Short Sales</w:t>
            </w:r>
          </w:p>
        </w:tc>
        <w:tc>
          <w:tcPr>
            <w:tcW w:w="990" w:type="dxa"/>
            <w:shd w:val="clear" w:color="auto" w:fill="5283B0"/>
            <w:vAlign w:val="center"/>
          </w:tcPr>
          <w:p w:rsidR="00B9348C" w:rsidRPr="00FE6AB4" w:rsidRDefault="00B9348C" w:rsidP="00FE6AB4">
            <w:pPr>
              <w:spacing w:after="0"/>
              <w:rPr>
                <w:rFonts w:asciiTheme="minorHAnsi" w:hAnsiTheme="minorHAnsi"/>
                <w:color w:val="FFFFFF" w:themeColor="background1"/>
              </w:rPr>
            </w:pPr>
            <w:r w:rsidRPr="00FE6AB4">
              <w:rPr>
                <w:rFonts w:asciiTheme="minorHAnsi" w:hAnsiTheme="minorHAnsi"/>
                <w:color w:val="FFFFFF" w:themeColor="background1"/>
              </w:rPr>
              <w:t>Units/</w:t>
            </w:r>
            <w:r w:rsidRPr="00FE6AB4">
              <w:rPr>
                <w:rFonts w:asciiTheme="minorHAnsi" w:hAnsiTheme="minorHAnsi"/>
                <w:color w:val="FFFFFF" w:themeColor="background1"/>
              </w:rPr>
              <w:br/>
              <w:t>$Vol</w:t>
            </w:r>
            <w:r w:rsidRPr="00FE6AB4">
              <w:rPr>
                <w:rFonts w:asciiTheme="minorHAnsi" w:hAnsiTheme="minorHAnsi"/>
                <w:color w:val="FFFFFF" w:themeColor="background1"/>
              </w:rPr>
              <w:br/>
              <w:t>2008</w:t>
            </w:r>
          </w:p>
        </w:tc>
        <w:tc>
          <w:tcPr>
            <w:tcW w:w="1710" w:type="dxa"/>
            <w:shd w:val="clear" w:color="auto" w:fill="5283B0"/>
            <w:vAlign w:val="center"/>
          </w:tcPr>
          <w:p w:rsidR="00B9348C" w:rsidRPr="00FE6AB4" w:rsidRDefault="00B9348C" w:rsidP="00FE6AB4">
            <w:pPr>
              <w:spacing w:after="0"/>
              <w:rPr>
                <w:rFonts w:asciiTheme="minorHAnsi" w:hAnsiTheme="minorHAnsi"/>
                <w:color w:val="FFFFFF" w:themeColor="background1"/>
              </w:rPr>
            </w:pPr>
            <w:r w:rsidRPr="00FE6AB4">
              <w:rPr>
                <w:rFonts w:asciiTheme="minorHAnsi" w:hAnsiTheme="minorHAnsi"/>
                <w:color w:val="FFFFFF" w:themeColor="background1"/>
              </w:rPr>
              <w:t>President and/or CEO</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EB412B">
            <w:pPr>
              <w:spacing w:after="0"/>
              <w:rPr>
                <w:rFonts w:asciiTheme="minorHAnsi" w:hAnsiTheme="minorHAnsi"/>
              </w:rPr>
            </w:pPr>
            <w:r w:rsidRPr="00D916BE">
              <w:rPr>
                <w:rFonts w:asciiTheme="minorHAnsi" w:hAnsiTheme="minorHAnsi"/>
              </w:rPr>
              <w:t>Coldwell Banker Premier</w:t>
            </w:r>
          </w:p>
        </w:tc>
        <w:tc>
          <w:tcPr>
            <w:tcW w:w="1530" w:type="dxa"/>
            <w:tcMar>
              <w:top w:w="58" w:type="dxa"/>
              <w:left w:w="115" w:type="dxa"/>
              <w:bottom w:w="58" w:type="dxa"/>
              <w:right w:w="115" w:type="dxa"/>
            </w:tcMar>
            <w:vAlign w:val="center"/>
          </w:tcPr>
          <w:p w:rsidR="00B9348C" w:rsidRPr="00D916BE" w:rsidRDefault="00B9348C" w:rsidP="00EB412B">
            <w:pPr>
              <w:spacing w:after="0"/>
              <w:rPr>
                <w:rFonts w:asciiTheme="minorHAnsi" w:hAnsiTheme="minorHAnsi"/>
              </w:rPr>
            </w:pPr>
            <w:r w:rsidRPr="00D916BE">
              <w:rPr>
                <w:rFonts w:asciiTheme="minorHAnsi" w:hAnsiTheme="minorHAnsi"/>
              </w:rPr>
              <w:t>Las Vegas, Henderson Nevada</w:t>
            </w:r>
          </w:p>
        </w:tc>
        <w:tc>
          <w:tcPr>
            <w:tcW w:w="1080" w:type="dxa"/>
            <w:tcMar>
              <w:top w:w="58" w:type="dxa"/>
              <w:left w:w="115" w:type="dxa"/>
              <w:bottom w:w="58" w:type="dxa"/>
              <w:right w:w="115" w:type="dxa"/>
            </w:tcMar>
            <w:vAlign w:val="center"/>
          </w:tcPr>
          <w:p w:rsidR="00B9348C" w:rsidRPr="00D916BE" w:rsidRDefault="00B9348C" w:rsidP="00EB412B">
            <w:pPr>
              <w:spacing w:after="0"/>
              <w:jc w:val="center"/>
              <w:rPr>
                <w:rFonts w:asciiTheme="minorHAnsi" w:hAnsiTheme="minorHAnsi"/>
              </w:rPr>
            </w:pPr>
            <w:r w:rsidRPr="00D916BE">
              <w:rPr>
                <w:rFonts w:asciiTheme="minorHAnsi" w:hAnsiTheme="minorHAnsi"/>
              </w:rPr>
              <w:t>325</w:t>
            </w:r>
          </w:p>
        </w:tc>
        <w:tc>
          <w:tcPr>
            <w:tcW w:w="810" w:type="dxa"/>
            <w:tcMar>
              <w:top w:w="58" w:type="dxa"/>
              <w:left w:w="115" w:type="dxa"/>
              <w:bottom w:w="58" w:type="dxa"/>
              <w:right w:w="115" w:type="dxa"/>
            </w:tcMar>
            <w:vAlign w:val="center"/>
          </w:tcPr>
          <w:p w:rsidR="00B9348C" w:rsidRPr="00D916BE" w:rsidRDefault="00B9348C" w:rsidP="00EB412B">
            <w:pPr>
              <w:spacing w:after="0"/>
              <w:jc w:val="center"/>
              <w:rPr>
                <w:rFonts w:asciiTheme="minorHAnsi" w:hAnsiTheme="minorHAnsi"/>
              </w:rPr>
            </w:pPr>
            <w:r w:rsidRPr="00D916BE">
              <w:rPr>
                <w:rFonts w:asciiTheme="minorHAnsi" w:hAnsiTheme="minorHAnsi"/>
              </w:rPr>
              <w:t>25</w:t>
            </w:r>
          </w:p>
        </w:tc>
        <w:tc>
          <w:tcPr>
            <w:tcW w:w="810" w:type="dxa"/>
            <w:tcMar>
              <w:top w:w="58" w:type="dxa"/>
              <w:left w:w="115" w:type="dxa"/>
              <w:bottom w:w="58" w:type="dxa"/>
              <w:right w:w="115" w:type="dxa"/>
            </w:tcMar>
            <w:vAlign w:val="center"/>
          </w:tcPr>
          <w:p w:rsidR="00B9348C" w:rsidRPr="00D916BE" w:rsidRDefault="00B9348C" w:rsidP="00EB412B">
            <w:pPr>
              <w:spacing w:after="0"/>
              <w:jc w:val="center"/>
              <w:rPr>
                <w:rFonts w:asciiTheme="minorHAnsi" w:hAnsiTheme="minorHAnsi"/>
              </w:rPr>
            </w:pPr>
            <w:r w:rsidRPr="00D916BE">
              <w:rPr>
                <w:rFonts w:asciiTheme="minorHAnsi" w:hAnsiTheme="minorHAnsi"/>
              </w:rPr>
              <w:t>25</w:t>
            </w:r>
          </w:p>
        </w:tc>
        <w:tc>
          <w:tcPr>
            <w:tcW w:w="1170" w:type="dxa"/>
            <w:vAlign w:val="center"/>
          </w:tcPr>
          <w:p w:rsidR="00B9348C" w:rsidRPr="00D916BE" w:rsidRDefault="00B9348C" w:rsidP="00EB412B">
            <w:pPr>
              <w:spacing w:after="0"/>
              <w:rPr>
                <w:rFonts w:asciiTheme="minorHAnsi" w:hAnsiTheme="minorHAnsi"/>
              </w:rPr>
            </w:pPr>
            <w:r w:rsidRPr="00D916BE">
              <w:rPr>
                <w:rFonts w:asciiTheme="minorHAnsi" w:hAnsiTheme="minorHAnsi"/>
              </w:rPr>
              <w:t>500+</w:t>
            </w:r>
          </w:p>
        </w:tc>
        <w:tc>
          <w:tcPr>
            <w:tcW w:w="990" w:type="dxa"/>
            <w:vAlign w:val="center"/>
          </w:tcPr>
          <w:p w:rsidR="00B9348C" w:rsidRPr="00D916BE" w:rsidRDefault="00B9348C" w:rsidP="00EB412B">
            <w:pPr>
              <w:spacing w:after="0"/>
              <w:rPr>
                <w:rFonts w:asciiTheme="minorHAnsi" w:hAnsiTheme="minorHAnsi"/>
              </w:rPr>
            </w:pPr>
            <w:r w:rsidRPr="00D916BE">
              <w:rPr>
                <w:rFonts w:asciiTheme="minorHAnsi" w:hAnsiTheme="minorHAnsi"/>
              </w:rPr>
              <w:t>3797/ $.74 B</w:t>
            </w:r>
          </w:p>
        </w:tc>
        <w:tc>
          <w:tcPr>
            <w:tcW w:w="1710" w:type="dxa"/>
            <w:tcMar>
              <w:top w:w="58" w:type="dxa"/>
              <w:left w:w="115" w:type="dxa"/>
              <w:bottom w:w="58" w:type="dxa"/>
              <w:right w:w="115" w:type="dxa"/>
            </w:tcMar>
            <w:vAlign w:val="center"/>
          </w:tcPr>
          <w:p w:rsidR="00B9348C" w:rsidRPr="00D916BE" w:rsidRDefault="00B9348C" w:rsidP="00EB412B">
            <w:pPr>
              <w:spacing w:after="0"/>
              <w:rPr>
                <w:rFonts w:asciiTheme="minorHAnsi" w:hAnsiTheme="minorHAnsi"/>
              </w:rPr>
            </w:pPr>
            <w:r w:rsidRPr="00D916BE">
              <w:rPr>
                <w:rFonts w:asciiTheme="minorHAnsi" w:hAnsiTheme="minorHAnsi"/>
              </w:rPr>
              <w:t>Molly Hamrick</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Coldwell Banker NRT</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Salt Lake City, UT</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900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25</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25</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250+</w:t>
            </w:r>
          </w:p>
        </w:tc>
        <w:tc>
          <w:tcPr>
            <w:tcW w:w="990" w:type="dxa"/>
            <w:vAlign w:val="center"/>
          </w:tcPr>
          <w:p w:rsidR="00B9348C" w:rsidRPr="00D916BE" w:rsidRDefault="00B9348C" w:rsidP="00FE6AB4">
            <w:pPr>
              <w:spacing w:after="0"/>
              <w:rPr>
                <w:rFonts w:asciiTheme="minorHAnsi" w:hAnsiTheme="minorHAnsi"/>
              </w:rPr>
            </w:pP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Dan Christensen</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 xml:space="preserve">Fuller Sotheby’s </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Denver, CO</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25</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25</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500+</w:t>
            </w:r>
          </w:p>
        </w:tc>
        <w:tc>
          <w:tcPr>
            <w:tcW w:w="99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1353/ $.85 B</w:t>
            </w: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Scott Webber</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Prudential Ruboloff</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Chicago</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1700+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25</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30</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2000+</w:t>
            </w:r>
          </w:p>
        </w:tc>
        <w:tc>
          <w:tcPr>
            <w:tcW w:w="99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11,300/$3.4 B</w:t>
            </w: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David Bracy</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Baird &amp; Warner</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Chicago</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1700+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25</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30</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2000+</w:t>
            </w:r>
          </w:p>
        </w:tc>
        <w:tc>
          <w:tcPr>
            <w:tcW w:w="99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11,300/$3.4 B</w:t>
            </w: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Jennifer Warden</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Prudential California</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Southern California</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3400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30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200</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2-3000</w:t>
            </w:r>
          </w:p>
        </w:tc>
        <w:tc>
          <w:tcPr>
            <w:tcW w:w="99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16000/$13 B</w:t>
            </w: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Jon Cook</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Keyes Realty</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Southern Florida</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600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100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100</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1500+</w:t>
            </w:r>
          </w:p>
        </w:tc>
        <w:tc>
          <w:tcPr>
            <w:tcW w:w="99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7200/ $1.8 B</w:t>
            </w: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Mike Pappas</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lastRenderedPageBreak/>
              <w:t>Russ Lyons Sotheby’s</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Phoenix</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500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30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50</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2000+</w:t>
            </w:r>
          </w:p>
        </w:tc>
        <w:tc>
          <w:tcPr>
            <w:tcW w:w="99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2100/ $.5 B</w:t>
            </w: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Glenn Niere</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Intero Real Estate</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Northern California</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1600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50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50</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1000+</w:t>
            </w:r>
          </w:p>
        </w:tc>
        <w:tc>
          <w:tcPr>
            <w:tcW w:w="99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4053/ $2.8 B</w:t>
            </w: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Gino Blefari</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Prudential Georgia</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Georgia</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1500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30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50</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2-3000</w:t>
            </w:r>
          </w:p>
        </w:tc>
        <w:tc>
          <w:tcPr>
            <w:tcW w:w="99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6825/ $1.7B</w:t>
            </w: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Dan Foresman</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Greenridge Realty</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Western Michigan</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500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25</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30</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1000</w:t>
            </w:r>
          </w:p>
        </w:tc>
        <w:tc>
          <w:tcPr>
            <w:tcW w:w="990" w:type="dxa"/>
            <w:vAlign w:val="center"/>
          </w:tcPr>
          <w:p w:rsidR="00B9348C" w:rsidRPr="00D916BE" w:rsidRDefault="00B9348C" w:rsidP="00FE6AB4">
            <w:pPr>
              <w:spacing w:after="0"/>
              <w:rPr>
                <w:rFonts w:asciiTheme="minorHAnsi" w:hAnsiTheme="minorHAnsi"/>
              </w:rPr>
            </w:pP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Thomas Paarlberg</w:t>
            </w:r>
          </w:p>
        </w:tc>
      </w:tr>
      <w:tr w:rsidR="00B9348C" w:rsidRPr="00EB412B" w:rsidTr="00FE6AB4">
        <w:trPr>
          <w:cantSplit/>
        </w:trPr>
        <w:tc>
          <w:tcPr>
            <w:tcW w:w="1744" w:type="dxa"/>
            <w:tcMar>
              <w:top w:w="58" w:type="dxa"/>
              <w:left w:w="115" w:type="dxa"/>
              <w:bottom w:w="58" w:type="dxa"/>
              <w:right w:w="115" w:type="dxa"/>
            </w:tcMar>
            <w:vAlign w:val="center"/>
          </w:tcPr>
          <w:p w:rsidR="00B9348C" w:rsidRPr="00EB412B" w:rsidRDefault="00B9348C" w:rsidP="00FE6AB4">
            <w:pPr>
              <w:spacing w:after="0"/>
              <w:rPr>
                <w:rFonts w:asciiTheme="minorHAnsi" w:hAnsiTheme="minorHAnsi"/>
              </w:rPr>
            </w:pPr>
            <w:r w:rsidRPr="00EB412B">
              <w:rPr>
                <w:rStyle w:val="Emphasis"/>
                <w:rFonts w:asciiTheme="minorHAnsi" w:hAnsiTheme="minorHAnsi"/>
                <w:b w:val="0"/>
              </w:rPr>
              <w:t>REMAX</w:t>
            </w:r>
            <w:r w:rsidRPr="00EB412B">
              <w:rPr>
                <w:rFonts w:asciiTheme="minorHAnsi" w:hAnsiTheme="minorHAnsi"/>
              </w:rPr>
              <w:t xml:space="preserve"> Elite</w:t>
            </w:r>
          </w:p>
        </w:tc>
        <w:tc>
          <w:tcPr>
            <w:tcW w:w="1530" w:type="dxa"/>
            <w:tcMar>
              <w:top w:w="58" w:type="dxa"/>
              <w:left w:w="115" w:type="dxa"/>
              <w:bottom w:w="58" w:type="dxa"/>
              <w:right w:w="115" w:type="dxa"/>
            </w:tcMar>
            <w:vAlign w:val="center"/>
          </w:tcPr>
          <w:p w:rsidR="00B9348C" w:rsidRPr="00EB412B" w:rsidRDefault="00B9348C" w:rsidP="00FE6AB4">
            <w:pPr>
              <w:spacing w:after="0"/>
              <w:rPr>
                <w:rFonts w:asciiTheme="minorHAnsi" w:hAnsiTheme="minorHAnsi"/>
              </w:rPr>
            </w:pPr>
            <w:r w:rsidRPr="00EB412B">
              <w:rPr>
                <w:rFonts w:asciiTheme="minorHAnsi" w:hAnsiTheme="minorHAnsi"/>
              </w:rPr>
              <w:t>Albuquerque</w:t>
            </w:r>
          </w:p>
        </w:tc>
        <w:tc>
          <w:tcPr>
            <w:tcW w:w="1080" w:type="dxa"/>
            <w:tcMar>
              <w:top w:w="58" w:type="dxa"/>
              <w:left w:w="115" w:type="dxa"/>
              <w:bottom w:w="58" w:type="dxa"/>
              <w:right w:w="115" w:type="dxa"/>
            </w:tcMar>
            <w:vAlign w:val="center"/>
          </w:tcPr>
          <w:p w:rsidR="00B9348C" w:rsidRPr="00EB412B" w:rsidRDefault="00B9348C" w:rsidP="00FE6AB4">
            <w:pPr>
              <w:spacing w:after="0"/>
              <w:jc w:val="center"/>
              <w:rPr>
                <w:rFonts w:asciiTheme="minorHAnsi" w:hAnsiTheme="minorHAnsi"/>
              </w:rPr>
            </w:pPr>
            <w:r w:rsidRPr="00EB412B">
              <w:rPr>
                <w:rFonts w:asciiTheme="minorHAnsi" w:hAnsiTheme="minorHAnsi"/>
              </w:rPr>
              <w:t>250</w:t>
            </w:r>
          </w:p>
        </w:tc>
        <w:tc>
          <w:tcPr>
            <w:tcW w:w="810" w:type="dxa"/>
            <w:tcMar>
              <w:top w:w="58" w:type="dxa"/>
              <w:left w:w="115" w:type="dxa"/>
              <w:bottom w:w="58" w:type="dxa"/>
              <w:right w:w="115" w:type="dxa"/>
            </w:tcMar>
            <w:vAlign w:val="center"/>
          </w:tcPr>
          <w:p w:rsidR="00B9348C" w:rsidRPr="00EB412B" w:rsidRDefault="00B9348C" w:rsidP="00FE6AB4">
            <w:pPr>
              <w:spacing w:after="0"/>
              <w:jc w:val="center"/>
              <w:rPr>
                <w:rFonts w:asciiTheme="minorHAnsi" w:hAnsiTheme="minorHAnsi"/>
              </w:rPr>
            </w:pPr>
            <w:r w:rsidRPr="00EB412B">
              <w:rPr>
                <w:rFonts w:asciiTheme="minorHAnsi" w:hAnsiTheme="minorHAnsi"/>
              </w:rPr>
              <w:t>15</w:t>
            </w:r>
          </w:p>
        </w:tc>
        <w:tc>
          <w:tcPr>
            <w:tcW w:w="810" w:type="dxa"/>
            <w:tcMar>
              <w:top w:w="58" w:type="dxa"/>
              <w:left w:w="115" w:type="dxa"/>
              <w:bottom w:w="58" w:type="dxa"/>
              <w:right w:w="115" w:type="dxa"/>
            </w:tcMar>
            <w:vAlign w:val="center"/>
          </w:tcPr>
          <w:p w:rsidR="00B9348C" w:rsidRPr="00EB412B" w:rsidRDefault="00B9348C" w:rsidP="00FE6AB4">
            <w:pPr>
              <w:spacing w:after="0"/>
              <w:jc w:val="center"/>
              <w:rPr>
                <w:rFonts w:asciiTheme="minorHAnsi" w:hAnsiTheme="minorHAnsi"/>
              </w:rPr>
            </w:pPr>
            <w:r w:rsidRPr="00EB412B">
              <w:rPr>
                <w:rFonts w:asciiTheme="minorHAnsi" w:hAnsiTheme="minorHAnsi"/>
              </w:rPr>
              <w:t>30</w:t>
            </w:r>
          </w:p>
        </w:tc>
        <w:tc>
          <w:tcPr>
            <w:tcW w:w="1170" w:type="dxa"/>
            <w:vAlign w:val="center"/>
          </w:tcPr>
          <w:p w:rsidR="00B9348C" w:rsidRPr="00EB412B" w:rsidRDefault="00B9348C" w:rsidP="00FE6AB4">
            <w:pPr>
              <w:spacing w:after="0"/>
              <w:rPr>
                <w:rFonts w:asciiTheme="minorHAnsi" w:hAnsiTheme="minorHAnsi"/>
              </w:rPr>
            </w:pPr>
            <w:r w:rsidRPr="00EB412B">
              <w:rPr>
                <w:rFonts w:asciiTheme="minorHAnsi" w:hAnsiTheme="minorHAnsi"/>
              </w:rPr>
              <w:t>200</w:t>
            </w:r>
          </w:p>
        </w:tc>
        <w:tc>
          <w:tcPr>
            <w:tcW w:w="990" w:type="dxa"/>
            <w:vAlign w:val="center"/>
          </w:tcPr>
          <w:p w:rsidR="00B9348C" w:rsidRPr="00EB412B" w:rsidRDefault="00B9348C" w:rsidP="00FE6AB4">
            <w:pPr>
              <w:spacing w:after="0"/>
              <w:rPr>
                <w:rFonts w:asciiTheme="minorHAnsi" w:hAnsiTheme="minorHAnsi"/>
              </w:rPr>
            </w:pPr>
          </w:p>
        </w:tc>
        <w:tc>
          <w:tcPr>
            <w:tcW w:w="1710" w:type="dxa"/>
            <w:tcMar>
              <w:top w:w="58" w:type="dxa"/>
              <w:left w:w="115" w:type="dxa"/>
              <w:bottom w:w="58" w:type="dxa"/>
              <w:right w:w="115" w:type="dxa"/>
            </w:tcMar>
            <w:vAlign w:val="center"/>
          </w:tcPr>
          <w:p w:rsidR="00B9348C" w:rsidRPr="00EB412B" w:rsidRDefault="00B9348C" w:rsidP="00FE6AB4">
            <w:pPr>
              <w:spacing w:after="0"/>
              <w:rPr>
                <w:rFonts w:asciiTheme="minorHAnsi" w:hAnsiTheme="minorHAnsi"/>
              </w:rPr>
            </w:pPr>
            <w:r w:rsidRPr="00EB412B">
              <w:rPr>
                <w:rFonts w:asciiTheme="minorHAnsi" w:hAnsiTheme="minorHAnsi"/>
              </w:rPr>
              <w:t>Michael Dreskin</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Surovell Realty</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SW Michigan</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250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30</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1500</w:t>
            </w:r>
          </w:p>
        </w:tc>
        <w:tc>
          <w:tcPr>
            <w:tcW w:w="990" w:type="dxa"/>
            <w:vAlign w:val="center"/>
          </w:tcPr>
          <w:p w:rsidR="00B9348C" w:rsidRPr="00D916BE" w:rsidRDefault="00B9348C" w:rsidP="00FE6AB4">
            <w:pPr>
              <w:spacing w:after="0"/>
              <w:rPr>
                <w:rFonts w:asciiTheme="minorHAnsi" w:hAnsiTheme="minorHAnsi"/>
              </w:rPr>
            </w:pP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Ed Surovell</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Coldwell Banker United</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So</w:t>
            </w:r>
            <w:r>
              <w:rPr>
                <w:rFonts w:asciiTheme="minorHAnsi" w:hAnsiTheme="minorHAnsi"/>
              </w:rPr>
              <w:t xml:space="preserve">. </w:t>
            </w:r>
            <w:r w:rsidRPr="00D916BE">
              <w:rPr>
                <w:rFonts w:asciiTheme="minorHAnsi" w:hAnsiTheme="minorHAnsi"/>
              </w:rPr>
              <w:t>Texas &amp;</w:t>
            </w:r>
            <w:r w:rsidRPr="00D916BE">
              <w:rPr>
                <w:rFonts w:asciiTheme="minorHAnsi" w:hAnsiTheme="minorHAnsi"/>
              </w:rPr>
              <w:br/>
              <w:t>Gulf area</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3000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50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75+</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2000</w:t>
            </w:r>
          </w:p>
        </w:tc>
        <w:tc>
          <w:tcPr>
            <w:tcW w:w="99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28,000/$6 B</w:t>
            </w: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Helen</w:t>
            </w:r>
            <w:r>
              <w:rPr>
                <w:rFonts w:asciiTheme="minorHAnsi" w:hAnsiTheme="minorHAnsi"/>
              </w:rPr>
              <w:t xml:space="preserve"> </w:t>
            </w:r>
            <w:r w:rsidRPr="00D916BE">
              <w:rPr>
                <w:rFonts w:asciiTheme="minorHAnsi" w:hAnsiTheme="minorHAnsi"/>
              </w:rPr>
              <w:t>Edwards</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David Winans GMAC</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Dallas  -</w:t>
            </w:r>
            <w:r w:rsidRPr="00D916BE">
              <w:rPr>
                <w:rFonts w:asciiTheme="minorHAnsi" w:hAnsiTheme="minorHAnsi"/>
              </w:rPr>
              <w:br/>
              <w:t>Fort Worth</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400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40</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1500</w:t>
            </w:r>
          </w:p>
        </w:tc>
        <w:tc>
          <w:tcPr>
            <w:tcW w:w="99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$876M</w:t>
            </w: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David Winans</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D’Ann Harper</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San Antonio</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400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30</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1000</w:t>
            </w:r>
          </w:p>
        </w:tc>
        <w:tc>
          <w:tcPr>
            <w:tcW w:w="99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4,000/</w:t>
            </w: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D’Ann Harper</w:t>
            </w:r>
          </w:p>
        </w:tc>
      </w:tr>
      <w:tr w:rsidR="00B9348C" w:rsidRPr="00D916BE" w:rsidTr="00FE6AB4">
        <w:trPr>
          <w:cantSplit/>
        </w:trPr>
        <w:tc>
          <w:tcPr>
            <w:tcW w:w="1744"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Edina Realty</w:t>
            </w:r>
          </w:p>
        </w:tc>
        <w:tc>
          <w:tcPr>
            <w:tcW w:w="153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MN, WI, ND</w:t>
            </w:r>
          </w:p>
        </w:tc>
        <w:tc>
          <w:tcPr>
            <w:tcW w:w="108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2500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50</w:t>
            </w:r>
          </w:p>
        </w:tc>
        <w:tc>
          <w:tcPr>
            <w:tcW w:w="810" w:type="dxa"/>
            <w:tcMar>
              <w:top w:w="58" w:type="dxa"/>
              <w:left w:w="115" w:type="dxa"/>
              <w:bottom w:w="58" w:type="dxa"/>
              <w:right w:w="115" w:type="dxa"/>
            </w:tcMar>
            <w:vAlign w:val="center"/>
          </w:tcPr>
          <w:p w:rsidR="00B9348C" w:rsidRPr="00D916BE" w:rsidRDefault="00B9348C" w:rsidP="00FE6AB4">
            <w:pPr>
              <w:spacing w:after="0"/>
              <w:jc w:val="center"/>
              <w:rPr>
                <w:rFonts w:asciiTheme="minorHAnsi" w:hAnsiTheme="minorHAnsi"/>
              </w:rPr>
            </w:pPr>
            <w:r w:rsidRPr="00D916BE">
              <w:rPr>
                <w:rFonts w:asciiTheme="minorHAnsi" w:hAnsiTheme="minorHAnsi"/>
              </w:rPr>
              <w:t>75</w:t>
            </w:r>
          </w:p>
        </w:tc>
        <w:tc>
          <w:tcPr>
            <w:tcW w:w="117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2500</w:t>
            </w:r>
          </w:p>
        </w:tc>
        <w:tc>
          <w:tcPr>
            <w:tcW w:w="990" w:type="dxa"/>
            <w:vAlign w:val="center"/>
          </w:tcPr>
          <w:p w:rsidR="00B9348C" w:rsidRPr="00D916BE" w:rsidRDefault="00B9348C" w:rsidP="00FE6AB4">
            <w:pPr>
              <w:spacing w:after="0"/>
              <w:rPr>
                <w:rFonts w:asciiTheme="minorHAnsi" w:hAnsiTheme="minorHAnsi"/>
              </w:rPr>
            </w:pPr>
            <w:r w:rsidRPr="00D916BE">
              <w:rPr>
                <w:rFonts w:asciiTheme="minorHAnsi" w:hAnsiTheme="minorHAnsi"/>
              </w:rPr>
              <w:t>24,000/$5.8B</w:t>
            </w:r>
          </w:p>
        </w:tc>
        <w:tc>
          <w:tcPr>
            <w:tcW w:w="1710" w:type="dxa"/>
            <w:tcMar>
              <w:top w:w="58" w:type="dxa"/>
              <w:left w:w="115" w:type="dxa"/>
              <w:bottom w:w="58" w:type="dxa"/>
              <w:right w:w="115" w:type="dxa"/>
            </w:tcMar>
            <w:vAlign w:val="center"/>
          </w:tcPr>
          <w:p w:rsidR="00B9348C" w:rsidRPr="00D916BE" w:rsidRDefault="00B9348C" w:rsidP="00FE6AB4">
            <w:pPr>
              <w:spacing w:after="0"/>
              <w:rPr>
                <w:rFonts w:asciiTheme="minorHAnsi" w:hAnsiTheme="minorHAnsi"/>
              </w:rPr>
            </w:pPr>
            <w:r w:rsidRPr="00D916BE">
              <w:rPr>
                <w:rFonts w:asciiTheme="minorHAnsi" w:hAnsiTheme="minorHAnsi"/>
              </w:rPr>
              <w:t>Bob Peletier</w:t>
            </w:r>
          </w:p>
        </w:tc>
      </w:tr>
    </w:tbl>
    <w:tbl>
      <w:tblPr>
        <w:tblpPr w:leftFromText="180" w:rightFromText="180" w:vertAnchor="text" w:horzAnchor="margin" w:tblpY="273"/>
        <w:tblOverlap w:val="never"/>
        <w:tblW w:w="0" w:type="auto"/>
        <w:tblBorders>
          <w:insideV w:val="single" w:sz="4" w:space="0" w:color="auto"/>
        </w:tblBorders>
        <w:tblLook w:val="0000"/>
      </w:tblPr>
      <w:tblGrid>
        <w:gridCol w:w="4529"/>
        <w:gridCol w:w="4327"/>
      </w:tblGrid>
      <w:tr w:rsidR="00B9348C" w:rsidRPr="00D916BE" w:rsidTr="00FE6AB4">
        <w:trPr>
          <w:trHeight w:val="2544"/>
        </w:trPr>
        <w:tc>
          <w:tcPr>
            <w:tcW w:w="4860" w:type="dxa"/>
            <w:tcBorders>
              <w:top w:val="nil"/>
              <w:left w:val="nil"/>
              <w:bottom w:val="nil"/>
            </w:tcBorders>
          </w:tcPr>
          <w:p w:rsidR="00B9348C" w:rsidRPr="00D916BE" w:rsidRDefault="00B9348C" w:rsidP="00FE6AB4">
            <w:pPr>
              <w:spacing w:after="0"/>
              <w:rPr>
                <w:b/>
                <w:bCs/>
              </w:rPr>
            </w:pPr>
            <w:r w:rsidRPr="00D916BE">
              <w:rPr>
                <w:b/>
                <w:bCs/>
                <w:sz w:val="22"/>
                <w:szCs w:val="22"/>
              </w:rPr>
              <w:t>† Listing Agents Profile</w:t>
            </w:r>
          </w:p>
          <w:p w:rsidR="00B9348C" w:rsidRPr="00D916BE" w:rsidRDefault="00B9348C" w:rsidP="00FE6AB4">
            <w:pPr>
              <w:spacing w:after="0"/>
            </w:pPr>
            <w:r w:rsidRPr="00D916BE">
              <w:rPr>
                <w:sz w:val="22"/>
                <w:szCs w:val="22"/>
              </w:rPr>
              <w:t>Full time commitment to real estate. No other jobs.</w:t>
            </w:r>
          </w:p>
          <w:p w:rsidR="00B9348C" w:rsidRPr="00D916BE" w:rsidRDefault="00B9348C" w:rsidP="00FE6AB4">
            <w:pPr>
              <w:spacing w:after="0"/>
            </w:pPr>
            <w:r w:rsidRPr="00D916BE">
              <w:rPr>
                <w:sz w:val="22"/>
                <w:szCs w:val="22"/>
              </w:rPr>
              <w:t>More than two years active in real estate.</w:t>
            </w:r>
          </w:p>
          <w:p w:rsidR="00B9348C" w:rsidRPr="00D916BE" w:rsidRDefault="00B9348C" w:rsidP="00FE6AB4">
            <w:pPr>
              <w:spacing w:after="0"/>
            </w:pPr>
            <w:r w:rsidRPr="00D916BE">
              <w:rPr>
                <w:sz w:val="22"/>
                <w:szCs w:val="22"/>
              </w:rPr>
              <w:t>Track record of 10 - 25 successful listings sold.</w:t>
            </w:r>
          </w:p>
          <w:p w:rsidR="00B9348C" w:rsidRPr="00D916BE" w:rsidRDefault="00B9348C" w:rsidP="00FE6AB4">
            <w:pPr>
              <w:spacing w:after="0"/>
            </w:pPr>
            <w:r w:rsidRPr="00D916BE">
              <w:rPr>
                <w:sz w:val="22"/>
                <w:szCs w:val="22"/>
              </w:rPr>
              <w:t>Current MLS, Board, NAR member.</w:t>
            </w:r>
          </w:p>
          <w:p w:rsidR="00B9348C" w:rsidRPr="00D916BE" w:rsidRDefault="00B9348C" w:rsidP="00FE6AB4">
            <w:pPr>
              <w:spacing w:after="0"/>
            </w:pPr>
            <w:r w:rsidRPr="00D916BE">
              <w:rPr>
                <w:sz w:val="22"/>
                <w:szCs w:val="22"/>
              </w:rPr>
              <w:t>Answers phone promptly.</w:t>
            </w:r>
          </w:p>
          <w:p w:rsidR="00B9348C" w:rsidRPr="00D916BE" w:rsidRDefault="00B9348C" w:rsidP="00FE6AB4">
            <w:pPr>
              <w:spacing w:after="0"/>
            </w:pPr>
            <w:r w:rsidRPr="00D916BE">
              <w:rPr>
                <w:sz w:val="22"/>
                <w:szCs w:val="22"/>
              </w:rPr>
              <w:t>Carries a cell phone that is answered promptly</w:t>
            </w:r>
          </w:p>
          <w:p w:rsidR="00B9348C" w:rsidRPr="00D916BE" w:rsidRDefault="00B9348C" w:rsidP="00FE6AB4">
            <w:pPr>
              <w:spacing w:after="0"/>
            </w:pPr>
            <w:r w:rsidRPr="00D916BE">
              <w:rPr>
                <w:sz w:val="22"/>
                <w:szCs w:val="22"/>
              </w:rPr>
              <w:t>Checks email regularly or has push technology.</w:t>
            </w:r>
          </w:p>
        </w:tc>
        <w:tc>
          <w:tcPr>
            <w:tcW w:w="4583" w:type="dxa"/>
            <w:tcBorders>
              <w:top w:val="nil"/>
              <w:bottom w:val="nil"/>
              <w:right w:val="nil"/>
            </w:tcBorders>
          </w:tcPr>
          <w:p w:rsidR="00B9348C" w:rsidRPr="00D916BE" w:rsidRDefault="00B9348C" w:rsidP="00FE6AB4">
            <w:pPr>
              <w:spacing w:after="0"/>
              <w:rPr>
                <w:b/>
                <w:bCs/>
              </w:rPr>
            </w:pPr>
            <w:r w:rsidRPr="00D916BE">
              <w:rPr>
                <w:b/>
                <w:bCs/>
                <w:sz w:val="22"/>
                <w:szCs w:val="22"/>
              </w:rPr>
              <w:t>‡ Marketing/Buyers Agent Profile</w:t>
            </w:r>
          </w:p>
          <w:p w:rsidR="00B9348C" w:rsidRPr="00D916BE" w:rsidRDefault="00B9348C" w:rsidP="00FE6AB4">
            <w:pPr>
              <w:spacing w:after="0"/>
            </w:pPr>
            <w:r w:rsidRPr="00D916BE">
              <w:rPr>
                <w:sz w:val="22"/>
                <w:szCs w:val="22"/>
              </w:rPr>
              <w:t>Full time commitment to real estate. No other job.</w:t>
            </w:r>
          </w:p>
          <w:p w:rsidR="00B9348C" w:rsidRPr="00D916BE" w:rsidRDefault="00B9348C" w:rsidP="00FE6AB4">
            <w:pPr>
              <w:spacing w:after="0"/>
            </w:pPr>
            <w:r w:rsidRPr="00D916BE">
              <w:rPr>
                <w:sz w:val="22"/>
                <w:szCs w:val="22"/>
              </w:rPr>
              <w:t>Completed new agent training.</w:t>
            </w:r>
          </w:p>
          <w:p w:rsidR="00B9348C" w:rsidRPr="00D916BE" w:rsidRDefault="00B9348C" w:rsidP="00FE6AB4">
            <w:pPr>
              <w:pStyle w:val="ListParagraph"/>
              <w:ind w:left="0"/>
              <w:rPr>
                <w:kern w:val="0"/>
              </w:rPr>
            </w:pPr>
            <w:r w:rsidRPr="00D916BE">
              <w:rPr>
                <w:kern w:val="0"/>
                <w:sz w:val="22"/>
                <w:szCs w:val="22"/>
              </w:rPr>
              <w:t>Current MLS, board and NAR member.</w:t>
            </w:r>
          </w:p>
          <w:p w:rsidR="00B9348C" w:rsidRPr="00D916BE" w:rsidRDefault="00B9348C" w:rsidP="00FE6AB4">
            <w:pPr>
              <w:spacing w:after="0"/>
            </w:pPr>
            <w:r w:rsidRPr="00D916BE">
              <w:rPr>
                <w:sz w:val="22"/>
                <w:szCs w:val="22"/>
              </w:rPr>
              <w:t>Answers phone promptly.</w:t>
            </w:r>
          </w:p>
          <w:p w:rsidR="00B9348C" w:rsidRPr="00D916BE" w:rsidRDefault="00B9348C" w:rsidP="00FE6AB4">
            <w:pPr>
              <w:spacing w:after="0"/>
            </w:pPr>
            <w:r w:rsidRPr="00D916BE">
              <w:rPr>
                <w:sz w:val="22"/>
                <w:szCs w:val="22"/>
              </w:rPr>
              <w:t>Carries cell phone which is answered promptly.</w:t>
            </w:r>
          </w:p>
          <w:p w:rsidR="00B9348C" w:rsidRPr="00D916BE" w:rsidRDefault="00B9348C" w:rsidP="00FE6AB4">
            <w:pPr>
              <w:spacing w:after="0"/>
            </w:pPr>
            <w:r w:rsidRPr="00D916BE">
              <w:rPr>
                <w:sz w:val="22"/>
                <w:szCs w:val="22"/>
              </w:rPr>
              <w:t>Checks email regularly or has push technology.</w:t>
            </w:r>
          </w:p>
        </w:tc>
      </w:tr>
    </w:tbl>
    <w:p w:rsidR="00B9348C" w:rsidRPr="00B9348C" w:rsidRDefault="00B9348C" w:rsidP="00B9348C">
      <w:pPr>
        <w:ind w:left="450"/>
      </w:pPr>
    </w:p>
    <w:sectPr w:rsidR="00B9348C" w:rsidRPr="00B9348C" w:rsidSect="00BF21F7">
      <w:footerReference w:type="default" r:id="rId7"/>
      <w:pgSz w:w="12240" w:h="15840" w:code="1"/>
      <w:pgMar w:top="1440" w:right="1800" w:bottom="1440" w:left="18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F15" w:rsidRDefault="00BB7F15" w:rsidP="00BF21F7">
      <w:pPr>
        <w:spacing w:after="0"/>
      </w:pPr>
      <w:r>
        <w:separator/>
      </w:r>
    </w:p>
  </w:endnote>
  <w:endnote w:type="continuationSeparator" w:id="1">
    <w:p w:rsidR="00BB7F15" w:rsidRDefault="00BB7F15" w:rsidP="00BF21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F7" w:rsidRPr="00912CDC" w:rsidRDefault="00BF21F7" w:rsidP="00BF21F7">
    <w:pPr>
      <w:pStyle w:val="Footer"/>
      <w:pBdr>
        <w:top w:val="single" w:sz="4" w:space="1" w:color="A6A6A6" w:themeColor="background1" w:themeShade="A6"/>
      </w:pBdr>
      <w:jc w:val="right"/>
      <w:rPr>
        <w:rFonts w:cs="Arial"/>
        <w:sz w:val="20"/>
        <w:szCs w:val="20"/>
      </w:rPr>
    </w:pPr>
    <w:r>
      <w:rPr>
        <w:rFonts w:cs="Arial"/>
        <w:sz w:val="20"/>
        <w:szCs w:val="20"/>
      </w:rPr>
      <w:t xml:space="preserve">National Real Estate Information Services </w:t>
    </w:r>
    <w:r>
      <w:rPr>
        <w:rFonts w:cs="Arial"/>
        <w:sz w:val="20"/>
        <w:szCs w:val="20"/>
      </w:rPr>
      <w:tab/>
    </w:r>
    <w:r>
      <w:rPr>
        <w:rFonts w:cs="Arial"/>
        <w:sz w:val="20"/>
        <w:szCs w:val="20"/>
      </w:rPr>
      <w:tab/>
      <w:t>P</w:t>
    </w:r>
    <w:r w:rsidRPr="00912CDC">
      <w:rPr>
        <w:rFonts w:cs="Arial"/>
        <w:sz w:val="20"/>
        <w:szCs w:val="20"/>
      </w:rPr>
      <w:t>roposal to Bank of America for Short Sales Round 8</w:t>
    </w:r>
  </w:p>
  <w:p w:rsidR="00BF21F7" w:rsidRDefault="00BF21F7" w:rsidP="00BF21F7">
    <w:pPr>
      <w:pStyle w:val="Footer"/>
      <w:jc w:val="right"/>
      <w:rPr>
        <w:rFonts w:cs="Arial"/>
        <w:sz w:val="20"/>
        <w:szCs w:val="20"/>
      </w:rPr>
    </w:pPr>
    <w:r>
      <w:rPr>
        <w:rFonts w:cs="Arial"/>
        <w:sz w:val="20"/>
        <w:szCs w:val="20"/>
      </w:rPr>
      <w:t xml:space="preserve">                      Schedule C  - Performance Measurements</w:t>
    </w:r>
  </w:p>
  <w:p w:rsidR="00BF21F7" w:rsidRDefault="00BF21F7" w:rsidP="00BF21F7">
    <w:pPr>
      <w:pStyle w:val="Footer"/>
      <w:jc w:val="right"/>
    </w:pPr>
    <w:r>
      <w:rPr>
        <w:rFonts w:cs="Arial"/>
        <w:sz w:val="20"/>
        <w:szCs w:val="20"/>
      </w:rPr>
      <w:t xml:space="preserve">Page </w:t>
    </w:r>
    <w:sdt>
      <w:sdtPr>
        <w:id w:val="5238408"/>
        <w:docPartObj>
          <w:docPartGallery w:val="Page Numbers (Bottom of Page)"/>
          <w:docPartUnique/>
        </w:docPartObj>
      </w:sdtPr>
      <w:sdtContent>
        <w:fldSimple w:instr=" PAGE   \* MERGEFORMAT ">
          <w:r>
            <w:rPr>
              <w:noProof/>
            </w:rPr>
            <w:t>1</w:t>
          </w:r>
        </w:fldSimple>
      </w:sdtContent>
    </w:sdt>
  </w:p>
  <w:p w:rsidR="00BF21F7" w:rsidRPr="005873C1" w:rsidRDefault="00BF21F7" w:rsidP="00BF21F7">
    <w:pPr>
      <w:pStyle w:val="Footer"/>
      <w:rPr>
        <w:szCs w:val="20"/>
      </w:rPr>
    </w:pPr>
  </w:p>
  <w:p w:rsidR="00BF21F7" w:rsidRDefault="00BF21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F15" w:rsidRDefault="00BB7F15" w:rsidP="00BF21F7">
      <w:pPr>
        <w:spacing w:after="0"/>
      </w:pPr>
      <w:r>
        <w:separator/>
      </w:r>
    </w:p>
  </w:footnote>
  <w:footnote w:type="continuationSeparator" w:id="1">
    <w:p w:rsidR="00BB7F15" w:rsidRDefault="00BB7F15" w:rsidP="00BF21F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7217"/>
    <w:multiLevelType w:val="multilevel"/>
    <w:tmpl w:val="1A024362"/>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1">
    <w:nsid w:val="0613408F"/>
    <w:multiLevelType w:val="hybridMultilevel"/>
    <w:tmpl w:val="2EB0A050"/>
    <w:lvl w:ilvl="0" w:tplc="6B5E5390">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6950346"/>
    <w:multiLevelType w:val="multilevel"/>
    <w:tmpl w:val="A4864A7A"/>
    <w:lvl w:ilvl="0">
      <w:start w:val="1"/>
      <w:numFmt w:val="upperRoman"/>
      <w:lvlText w:val="%1."/>
      <w:lvlJc w:val="left"/>
      <w:pPr>
        <w:ind w:left="-720" w:firstLine="0"/>
      </w:pPr>
    </w:lvl>
    <w:lvl w:ilvl="1">
      <w:start w:val="1"/>
      <w:numFmt w:val="upperLetter"/>
      <w:lvlText w:val="%2."/>
      <w:lvlJc w:val="left"/>
      <w:pPr>
        <w:ind w:left="0" w:firstLine="0"/>
      </w:pPr>
    </w:lvl>
    <w:lvl w:ilvl="2">
      <w:start w:val="1"/>
      <w:numFmt w:val="decimal"/>
      <w:lvlText w:val="%3."/>
      <w:lvlJc w:val="left"/>
      <w:pPr>
        <w:ind w:left="720" w:firstLine="0"/>
      </w:pPr>
    </w:lvl>
    <w:lvl w:ilvl="3">
      <w:start w:val="1"/>
      <w:numFmt w:val="lowerLetter"/>
      <w:lvlText w:val="%4)"/>
      <w:lvlJc w:val="left"/>
      <w:pPr>
        <w:ind w:left="1440" w:firstLine="0"/>
      </w:pPr>
      <w:rPr>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eastAsianLayout w:id="-404005632"/>
        <w:specVanish w:val="0"/>
      </w:rPr>
    </w:lvl>
    <w:lvl w:ilvl="4">
      <w:start w:val="1"/>
      <w:numFmt w:val="decimal"/>
      <w:lvlText w:val="(%5)"/>
      <w:lvlJc w:val="left"/>
      <w:pPr>
        <w:ind w:left="2160" w:firstLine="0"/>
      </w:pPr>
    </w:lvl>
    <w:lvl w:ilvl="5">
      <w:start w:val="1"/>
      <w:numFmt w:val="lowerLetter"/>
      <w:lvlText w:val="(%6)"/>
      <w:lvlJc w:val="left"/>
      <w:pPr>
        <w:ind w:left="2880" w:firstLine="0"/>
      </w:pPr>
    </w:lvl>
    <w:lvl w:ilvl="6">
      <w:start w:val="1"/>
      <w:numFmt w:val="lowerRoman"/>
      <w:lvlText w:val="(%7)"/>
      <w:lvlJc w:val="left"/>
      <w:pPr>
        <w:ind w:left="3600" w:firstLine="0"/>
      </w:pPr>
    </w:lvl>
    <w:lvl w:ilvl="7">
      <w:start w:val="1"/>
      <w:numFmt w:val="lowerLetter"/>
      <w:lvlText w:val="(%8)"/>
      <w:lvlJc w:val="left"/>
      <w:pPr>
        <w:ind w:left="4320" w:firstLine="0"/>
      </w:pPr>
    </w:lvl>
    <w:lvl w:ilvl="8">
      <w:start w:val="1"/>
      <w:numFmt w:val="lowerRoman"/>
      <w:lvlText w:val="(%9)"/>
      <w:lvlJc w:val="left"/>
      <w:pPr>
        <w:ind w:left="5040" w:firstLine="0"/>
      </w:pPr>
    </w:lvl>
  </w:abstractNum>
  <w:abstractNum w:abstractNumId="3">
    <w:nsid w:val="1C354CC4"/>
    <w:multiLevelType w:val="multilevel"/>
    <w:tmpl w:val="FB9E7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8F617F2"/>
    <w:multiLevelType w:val="hybridMultilevel"/>
    <w:tmpl w:val="A5F4ECE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B1962AC"/>
    <w:multiLevelType w:val="hybridMultilevel"/>
    <w:tmpl w:val="3DFAF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F11206E"/>
    <w:multiLevelType w:val="hybridMultilevel"/>
    <w:tmpl w:val="348C4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95AAF"/>
    <w:multiLevelType w:val="multilevel"/>
    <w:tmpl w:val="DD3A91A8"/>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8">
    <w:nsid w:val="540D36D9"/>
    <w:multiLevelType w:val="multilevel"/>
    <w:tmpl w:val="A72486A8"/>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9">
    <w:nsid w:val="60AB448B"/>
    <w:multiLevelType w:val="hybridMultilevel"/>
    <w:tmpl w:val="7ED05E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9C7482B"/>
    <w:multiLevelType w:val="hybridMultilevel"/>
    <w:tmpl w:val="C49653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B531E69"/>
    <w:multiLevelType w:val="hybridMultilevel"/>
    <w:tmpl w:val="72D4B680"/>
    <w:lvl w:ilvl="0" w:tplc="7A3CBADC">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6C152EB3"/>
    <w:multiLevelType w:val="hybridMultilevel"/>
    <w:tmpl w:val="A0905DD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6D575EAD"/>
    <w:multiLevelType w:val="hybridMultilevel"/>
    <w:tmpl w:val="C2CEF32C"/>
    <w:lvl w:ilvl="0" w:tplc="7A3CBADC">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737225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7D5797F"/>
    <w:multiLevelType w:val="multilevel"/>
    <w:tmpl w:val="B9AEB8A4"/>
    <w:lvl w:ilvl="0">
      <w:start w:val="1"/>
      <w:numFmt w:val="lowerLetter"/>
      <w:pStyle w:val="Heading1"/>
      <w:lvlText w:val="%1."/>
      <w:lvlJc w:val="left"/>
      <w:pPr>
        <w:ind w:left="0" w:firstLine="0"/>
      </w:pPr>
    </w:lvl>
    <w:lvl w:ilvl="1">
      <w:start w:val="1"/>
      <w:numFmt w:val="lowerRoman"/>
      <w:pStyle w:val="Heading2"/>
      <w:lvlText w:val="%2."/>
      <w:lvlJc w:val="left"/>
      <w:pPr>
        <w:ind w:left="720" w:firstLine="0"/>
      </w:pPr>
      <w:rPr>
        <w:rFonts w:hint="default"/>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nsid w:val="7B055196"/>
    <w:multiLevelType w:val="hybridMultilevel"/>
    <w:tmpl w:val="6EECF0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7B5125B6"/>
    <w:multiLevelType w:val="multilevel"/>
    <w:tmpl w:val="A72486A8"/>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num w:numId="1">
    <w:abstractNumId w:val="2"/>
  </w:num>
  <w:num w:numId="2">
    <w:abstractNumId w:val="6"/>
  </w:num>
  <w:num w:numId="3">
    <w:abstractNumId w:val="3"/>
  </w:num>
  <w:num w:numId="4">
    <w:abstractNumId w:val="9"/>
  </w:num>
  <w:num w:numId="5">
    <w:abstractNumId w:val="10"/>
  </w:num>
  <w:num w:numId="6">
    <w:abstractNumId w:val="7"/>
  </w:num>
  <w:num w:numId="7">
    <w:abstractNumId w:val="8"/>
  </w:num>
  <w:num w:numId="8">
    <w:abstractNumId w:val="0"/>
  </w:num>
  <w:num w:numId="9">
    <w:abstractNumId w:val="0"/>
  </w:num>
  <w:num w:numId="10">
    <w:abstractNumId w:val="17"/>
  </w:num>
  <w:num w:numId="11">
    <w:abstractNumId w:val="14"/>
  </w:num>
  <w:num w:numId="12">
    <w:abstractNumId w:val="15"/>
  </w:num>
  <w:num w:numId="13">
    <w:abstractNumId w:val="15"/>
  </w:num>
  <w:num w:numId="14">
    <w:abstractNumId w:val="15"/>
  </w:num>
  <w:num w:numId="15">
    <w:abstractNumId w:val="16"/>
  </w:num>
  <w:num w:numId="16">
    <w:abstractNumId w:val="5"/>
  </w:num>
  <w:num w:numId="17">
    <w:abstractNumId w:val="13"/>
  </w:num>
  <w:num w:numId="18">
    <w:abstractNumId w:val="12"/>
  </w:num>
  <w:num w:numId="19">
    <w:abstractNumId w:val="4"/>
  </w:num>
  <w:num w:numId="20">
    <w:abstractNumId w:val="1"/>
  </w:num>
  <w:num w:numId="21">
    <w:abstractNumId w:val="11"/>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302E0"/>
    <w:rsid w:val="00081152"/>
    <w:rsid w:val="000B196D"/>
    <w:rsid w:val="000D6A3E"/>
    <w:rsid w:val="001A082F"/>
    <w:rsid w:val="002002DF"/>
    <w:rsid w:val="00272FBC"/>
    <w:rsid w:val="0028720A"/>
    <w:rsid w:val="002D30C4"/>
    <w:rsid w:val="00454792"/>
    <w:rsid w:val="004B13A1"/>
    <w:rsid w:val="004F5917"/>
    <w:rsid w:val="0054260A"/>
    <w:rsid w:val="005546B2"/>
    <w:rsid w:val="0055589B"/>
    <w:rsid w:val="00680F1E"/>
    <w:rsid w:val="00681691"/>
    <w:rsid w:val="006C4E71"/>
    <w:rsid w:val="0073276A"/>
    <w:rsid w:val="00784444"/>
    <w:rsid w:val="007A14A3"/>
    <w:rsid w:val="00831432"/>
    <w:rsid w:val="008B4A06"/>
    <w:rsid w:val="008F096C"/>
    <w:rsid w:val="008F3FCB"/>
    <w:rsid w:val="00936414"/>
    <w:rsid w:val="009572CC"/>
    <w:rsid w:val="00970804"/>
    <w:rsid w:val="00975B88"/>
    <w:rsid w:val="00990C01"/>
    <w:rsid w:val="009A2AC9"/>
    <w:rsid w:val="009D0991"/>
    <w:rsid w:val="00A6507B"/>
    <w:rsid w:val="00A81967"/>
    <w:rsid w:val="00AE1F9D"/>
    <w:rsid w:val="00B9348C"/>
    <w:rsid w:val="00B97410"/>
    <w:rsid w:val="00BB53C2"/>
    <w:rsid w:val="00BB7F15"/>
    <w:rsid w:val="00BF21F7"/>
    <w:rsid w:val="00C302E0"/>
    <w:rsid w:val="00C63FCB"/>
    <w:rsid w:val="00C85C65"/>
    <w:rsid w:val="00D7073D"/>
    <w:rsid w:val="00EA4B38"/>
    <w:rsid w:val="00EB412B"/>
    <w:rsid w:val="00F31F40"/>
    <w:rsid w:val="00F45E32"/>
    <w:rsid w:val="00FE6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804"/>
    <w:pPr>
      <w:spacing w:after="240"/>
    </w:pPr>
    <w:rPr>
      <w:rFonts w:ascii="Calibri" w:hAnsi="Calibri"/>
      <w:sz w:val="24"/>
      <w:szCs w:val="24"/>
    </w:rPr>
  </w:style>
  <w:style w:type="paragraph" w:styleId="Heading1">
    <w:name w:val="heading 1"/>
    <w:aliases w:val="_RFP1"/>
    <w:basedOn w:val="Normal"/>
    <w:next w:val="Normal"/>
    <w:link w:val="Heading1Char"/>
    <w:qFormat/>
    <w:rsid w:val="00EB412B"/>
    <w:pPr>
      <w:keepNext/>
      <w:keepLines/>
      <w:numPr>
        <w:numId w:val="12"/>
      </w:numPr>
      <w:tabs>
        <w:tab w:val="left" w:pos="450"/>
      </w:tabs>
      <w:spacing w:before="240" w:after="0"/>
      <w:outlineLvl w:val="0"/>
    </w:pPr>
    <w:rPr>
      <w:rFonts w:asciiTheme="minorHAnsi" w:eastAsiaTheme="majorEastAsia" w:hAnsiTheme="minorHAnsi" w:cstheme="majorBidi"/>
      <w:b/>
      <w:bCs/>
      <w:szCs w:val="28"/>
    </w:rPr>
  </w:style>
  <w:style w:type="paragraph" w:styleId="Heading2">
    <w:name w:val="heading 2"/>
    <w:aliases w:val="_RFP2"/>
    <w:basedOn w:val="Normal"/>
    <w:next w:val="Normal"/>
    <w:link w:val="Heading2Char"/>
    <w:unhideWhenUsed/>
    <w:qFormat/>
    <w:rsid w:val="00990C01"/>
    <w:pPr>
      <w:widowControl w:val="0"/>
      <w:numPr>
        <w:ilvl w:val="1"/>
        <w:numId w:val="12"/>
      </w:numPr>
      <w:tabs>
        <w:tab w:val="left" w:pos="720"/>
      </w:tabs>
      <w:spacing w:before="120" w:after="120"/>
      <w:outlineLvl w:val="1"/>
    </w:pPr>
    <w:rPr>
      <w:rFonts w:asciiTheme="minorHAnsi" w:eastAsiaTheme="majorEastAsia" w:hAnsiTheme="minorHAnsi" w:cstheme="majorBidi"/>
      <w:bCs/>
      <w:color w:val="000000"/>
    </w:rPr>
  </w:style>
  <w:style w:type="paragraph" w:styleId="Heading3">
    <w:name w:val="heading 3"/>
    <w:aliases w:val="_RFP3"/>
    <w:basedOn w:val="Normal"/>
    <w:next w:val="Normal"/>
    <w:link w:val="Heading3Char"/>
    <w:unhideWhenUsed/>
    <w:qFormat/>
    <w:rsid w:val="00272FBC"/>
    <w:pPr>
      <w:widowControl w:val="0"/>
      <w:numPr>
        <w:ilvl w:val="2"/>
        <w:numId w:val="12"/>
      </w:numPr>
      <w:tabs>
        <w:tab w:val="left" w:pos="1440"/>
      </w:tabs>
      <w:spacing w:before="120" w:after="0"/>
      <w:outlineLvl w:val="2"/>
    </w:pPr>
    <w:rPr>
      <w:rFonts w:asciiTheme="minorHAnsi" w:eastAsiaTheme="majorEastAsia" w:hAnsiTheme="minorHAnsi" w:cstheme="majorBidi"/>
      <w:bCs/>
      <w:color w:val="000000"/>
    </w:rPr>
  </w:style>
  <w:style w:type="paragraph" w:styleId="Heading4">
    <w:name w:val="heading 4"/>
    <w:aliases w:val="_RFP4"/>
    <w:basedOn w:val="Normal"/>
    <w:next w:val="Normal"/>
    <w:link w:val="Heading4Char"/>
    <w:unhideWhenUsed/>
    <w:qFormat/>
    <w:rsid w:val="00C302E0"/>
    <w:pPr>
      <w:keepNext/>
      <w:keepLines/>
      <w:numPr>
        <w:ilvl w:val="3"/>
        <w:numId w:val="12"/>
      </w:numPr>
      <w:tabs>
        <w:tab w:val="left" w:pos="2520"/>
      </w:tabs>
      <w:spacing w:before="100" w:beforeAutospacing="1" w:after="0"/>
      <w:outlineLvl w:val="3"/>
    </w:pPr>
    <w:rPr>
      <w:rFonts w:asciiTheme="minorHAnsi" w:eastAsiaTheme="majorEastAsia" w:hAnsiTheme="minorHAnsi" w:cstheme="majorBidi"/>
      <w:bCs/>
      <w:iCs/>
      <w:color w:val="000000"/>
    </w:rPr>
  </w:style>
  <w:style w:type="paragraph" w:styleId="Heading5">
    <w:name w:val="heading 5"/>
    <w:basedOn w:val="Normal"/>
    <w:next w:val="Normal"/>
    <w:link w:val="Heading5Char"/>
    <w:unhideWhenUsed/>
    <w:qFormat/>
    <w:rsid w:val="00C302E0"/>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302E0"/>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302E0"/>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302E0"/>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302E0"/>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0804"/>
    <w:pPr>
      <w:widowControl w:val="0"/>
      <w:overflowPunct w:val="0"/>
      <w:autoSpaceDE w:val="0"/>
      <w:autoSpaceDN w:val="0"/>
      <w:adjustRightInd w:val="0"/>
      <w:spacing w:after="0"/>
      <w:ind w:left="720"/>
    </w:pPr>
    <w:rPr>
      <w:rFonts w:asciiTheme="minorHAnsi" w:hAnsiTheme="minorHAnsi"/>
      <w:kern w:val="28"/>
      <w:szCs w:val="20"/>
    </w:rPr>
  </w:style>
  <w:style w:type="character" w:styleId="Strong">
    <w:name w:val="Strong"/>
    <w:basedOn w:val="DefaultParagraphFont"/>
    <w:qFormat/>
    <w:rsid w:val="00C302E0"/>
    <w:rPr>
      <w:b/>
      <w:bCs/>
    </w:rPr>
  </w:style>
  <w:style w:type="character" w:customStyle="1" w:styleId="Heading1Char">
    <w:name w:val="Heading 1 Char"/>
    <w:aliases w:val="_RFP1 Char"/>
    <w:basedOn w:val="DefaultParagraphFont"/>
    <w:link w:val="Heading1"/>
    <w:rsid w:val="00EB412B"/>
    <w:rPr>
      <w:rFonts w:asciiTheme="minorHAnsi" w:eastAsiaTheme="majorEastAsia" w:hAnsiTheme="minorHAnsi" w:cstheme="majorBidi"/>
      <w:b/>
      <w:bCs/>
      <w:sz w:val="24"/>
      <w:szCs w:val="28"/>
    </w:rPr>
  </w:style>
  <w:style w:type="character" w:customStyle="1" w:styleId="Heading2Char">
    <w:name w:val="Heading 2 Char"/>
    <w:aliases w:val="_RFP2 Char"/>
    <w:basedOn w:val="DefaultParagraphFont"/>
    <w:link w:val="Heading2"/>
    <w:rsid w:val="00990C01"/>
    <w:rPr>
      <w:rFonts w:asciiTheme="minorHAnsi" w:eastAsiaTheme="majorEastAsia" w:hAnsiTheme="minorHAnsi" w:cstheme="majorBidi"/>
      <w:bCs/>
      <w:color w:val="000000"/>
      <w:sz w:val="24"/>
      <w:szCs w:val="24"/>
    </w:rPr>
  </w:style>
  <w:style w:type="character" w:customStyle="1" w:styleId="Heading3Char">
    <w:name w:val="Heading 3 Char"/>
    <w:aliases w:val="_RFP3 Char"/>
    <w:basedOn w:val="DefaultParagraphFont"/>
    <w:link w:val="Heading3"/>
    <w:rsid w:val="00272FBC"/>
    <w:rPr>
      <w:rFonts w:asciiTheme="minorHAnsi" w:eastAsiaTheme="majorEastAsia" w:hAnsiTheme="minorHAnsi" w:cstheme="majorBidi"/>
      <w:bCs/>
      <w:color w:val="000000"/>
      <w:sz w:val="24"/>
      <w:szCs w:val="24"/>
    </w:rPr>
  </w:style>
  <w:style w:type="character" w:customStyle="1" w:styleId="Heading4Char">
    <w:name w:val="Heading 4 Char"/>
    <w:aliases w:val="_RFP4 Char"/>
    <w:basedOn w:val="DefaultParagraphFont"/>
    <w:link w:val="Heading4"/>
    <w:rsid w:val="00C302E0"/>
    <w:rPr>
      <w:rFonts w:asciiTheme="minorHAnsi" w:eastAsiaTheme="majorEastAsia" w:hAnsiTheme="minorHAnsi" w:cstheme="majorBidi"/>
      <w:bCs/>
      <w:iCs/>
      <w:color w:val="000000"/>
      <w:sz w:val="24"/>
      <w:szCs w:val="24"/>
    </w:rPr>
  </w:style>
  <w:style w:type="character" w:customStyle="1" w:styleId="Heading5Char">
    <w:name w:val="Heading 5 Char"/>
    <w:basedOn w:val="DefaultParagraphFont"/>
    <w:link w:val="Heading5"/>
    <w:rsid w:val="00C302E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302E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C302E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302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C302E0"/>
    <w:rPr>
      <w:rFonts w:asciiTheme="majorHAnsi" w:eastAsiaTheme="majorEastAsia" w:hAnsiTheme="majorHAnsi" w:cstheme="majorBidi"/>
      <w:i/>
      <w:iCs/>
      <w:color w:val="404040" w:themeColor="text1" w:themeTint="BF"/>
    </w:rPr>
  </w:style>
  <w:style w:type="paragraph" w:customStyle="1" w:styleId="RFP3Para">
    <w:name w:val="_RFP3 Para"/>
    <w:basedOn w:val="Normal"/>
    <w:link w:val="RFP3ParaChar"/>
    <w:qFormat/>
    <w:rsid w:val="00C302E0"/>
    <w:pPr>
      <w:spacing w:before="120" w:after="120"/>
      <w:ind w:left="1555"/>
    </w:pPr>
  </w:style>
  <w:style w:type="character" w:customStyle="1" w:styleId="RFP3ParaChar">
    <w:name w:val="_RFP3 Para Char"/>
    <w:basedOn w:val="DefaultParagraphFont"/>
    <w:link w:val="RFP3Para"/>
    <w:rsid w:val="00C302E0"/>
    <w:rPr>
      <w:rFonts w:ascii="Calibri" w:hAnsi="Calibri"/>
      <w:sz w:val="24"/>
      <w:szCs w:val="24"/>
    </w:rPr>
  </w:style>
  <w:style w:type="character" w:styleId="Emphasis">
    <w:name w:val="Emphasis"/>
    <w:basedOn w:val="DefaultParagraphFont"/>
    <w:uiPriority w:val="99"/>
    <w:qFormat/>
    <w:rsid w:val="00B9348C"/>
    <w:rPr>
      <w:rFonts w:ascii="Times New Roman" w:hAnsi="Times New Roman" w:cs="Times New Roman"/>
      <w:b/>
      <w:bCs/>
    </w:rPr>
  </w:style>
  <w:style w:type="paragraph" w:styleId="Header">
    <w:name w:val="header"/>
    <w:basedOn w:val="Normal"/>
    <w:link w:val="HeaderChar"/>
    <w:rsid w:val="00BF21F7"/>
    <w:pPr>
      <w:tabs>
        <w:tab w:val="center" w:pos="4680"/>
        <w:tab w:val="right" w:pos="9360"/>
      </w:tabs>
      <w:spacing w:after="0"/>
    </w:pPr>
  </w:style>
  <w:style w:type="character" w:customStyle="1" w:styleId="HeaderChar">
    <w:name w:val="Header Char"/>
    <w:basedOn w:val="DefaultParagraphFont"/>
    <w:link w:val="Header"/>
    <w:rsid w:val="00BF21F7"/>
    <w:rPr>
      <w:rFonts w:ascii="Calibri" w:hAnsi="Calibri"/>
      <w:sz w:val="24"/>
      <w:szCs w:val="24"/>
    </w:rPr>
  </w:style>
  <w:style w:type="paragraph" w:styleId="Footer">
    <w:name w:val="footer"/>
    <w:basedOn w:val="Normal"/>
    <w:link w:val="FooterChar"/>
    <w:uiPriority w:val="99"/>
    <w:rsid w:val="00BF21F7"/>
    <w:pPr>
      <w:tabs>
        <w:tab w:val="center" w:pos="4680"/>
        <w:tab w:val="right" w:pos="9360"/>
      </w:tabs>
      <w:spacing w:after="0"/>
    </w:pPr>
  </w:style>
  <w:style w:type="character" w:customStyle="1" w:styleId="FooterChar">
    <w:name w:val="Footer Char"/>
    <w:basedOn w:val="DefaultParagraphFont"/>
    <w:link w:val="Footer"/>
    <w:uiPriority w:val="99"/>
    <w:rsid w:val="00BF21F7"/>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1894</Words>
  <Characters>10796</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Supplier hours of operation are:</vt:lpstr>
      <vt:lpstr>    Call Center</vt:lpstr>
      <vt:lpstr>        M-F:  8am CST to 8pm CST</vt:lpstr>
      <vt:lpstr>        Saturday:  8am EST to 3pm CST </vt:lpstr>
      <vt:lpstr>        Upon request of client:  Inbound call center is available 24 hours every day, in</vt:lpstr>
      <vt:lpstr>        The call center is staffed with Spanish speaking agents during the hours shown.</vt:lpstr>
      <vt:lpstr>    Negotiator/Loss Mitigator</vt:lpstr>
      <vt:lpstr>        Standard hours:   8AM-8PM EST Monday –Saturday.  </vt:lpstr>
      <vt:lpstr>        The inbound call function is available 24 hours of every day.</vt:lpstr>
      <vt:lpstr>Solicitation</vt:lpstr>
      <vt:lpstr>        QDS will make 3 attempts to contact borrower/agent within 10 business days of re</vt:lpstr>
      <vt:lpstr>    Mailing:</vt:lpstr>
      <vt:lpstr>        QDS will send three mailers, one every three days to the borrower at the address</vt:lpstr>
      <vt:lpstr>    Telephone Out-Reach calls to borrower:</vt:lpstr>
      <vt:lpstr>        When there is a phone number available, QDS will call the borrower three times, </vt:lpstr>
      <vt:lpstr>        Dialogue Marketing is qualified to explain liquidation alternative options to th</vt:lpstr>
      <vt:lpstr>    Calls Abandon Ratio &lt; 5%</vt:lpstr>
      <vt:lpstr>    ASA &lt; 30 seconds</vt:lpstr>
      <vt:lpstr>    Quality Score (with input from client) &gt; 80%</vt:lpstr>
      <vt:lpstr>    Outbound Solicitation &gt; 25% right party contact ratio</vt:lpstr>
      <vt:lpstr>    When there is a phone number associated with the file, we expect the right-party</vt:lpstr>
      <vt:lpstr>    Conversions &gt; 60% (welcome packages returned / right party contacts)</vt:lpstr>
      <vt:lpstr>    Our evidence is that when the package is sent out without any further interventi</vt:lpstr>
      <vt:lpstr>Asset Management</vt:lpstr>
      <vt:lpstr>    Liquidations &gt; 40% of the conversions.  This metric is stated as a minimum expec</vt:lpstr>
      <vt:lpstr>    Value and market properties to solicit a contractual offer to liquidate the prop</vt:lpstr>
      <vt:lpstr>    End to End timeline (receipt of file to successful closing) will not exceed 150 </vt:lpstr>
      <vt:lpstr>    Values will be supplied to Supplier within 7 days by 3rd party vendor</vt:lpstr>
      <vt:lpstr>    Updated values will be ordered every 90 days by Supplier. </vt:lpstr>
      <vt:lpstr>    Title will be supplied within 10 days</vt:lpstr>
      <vt:lpstr>    BANK OF AMERICA will provide updated delegated Reserve Amounts at a minimum of (</vt:lpstr>
      <vt:lpstr>    Supplier will provide a response to Broker offers with no MI or subordinate lien</vt:lpstr>
      <vt:lpstr>        Approve</vt:lpstr>
      <vt:lpstr>        Negotiate</vt:lpstr>
      <vt:lpstr>        Decline Cooperative Program</vt:lpstr>
      <vt:lpstr>        Suspend Cooperative Program</vt:lpstr>
      <vt:lpstr>Realtors and Marketing the Properties</vt:lpstr>
    </vt:vector>
  </TitlesOfParts>
  <Company>Toshiba</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Pitcock</dc:creator>
  <cp:keywords/>
  <dc:description/>
  <cp:lastModifiedBy>Administratr</cp:lastModifiedBy>
  <cp:revision>1</cp:revision>
  <dcterms:created xsi:type="dcterms:W3CDTF">2010-08-11T20:33:00Z</dcterms:created>
  <dcterms:modified xsi:type="dcterms:W3CDTF">2010-08-23T20:46:00Z</dcterms:modified>
</cp:coreProperties>
</file>